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Default Extension="fntdata" ContentType="application/x-fontdata"/>
  <Override PartName="/word/styles.xml" ContentType="application/vnd.openxmlformats-officedocument.wordprocessingml.styles+xml"/>
  <Override PartName="/word/footer1.xml" ContentType="application/vnd.openxmlformats-officedocument.wordprocessingml.footer+xml"/>
  <Override PartName="/word/document.xml" ContentType="application/vnd.openxmlformats-officedocument.wordprocessingml.document.main+xml"/>
  <Override PartName="/word/header2.xml" ContentType="application/vnd.openxmlformats-officedocument.wordprocessingml.header+xml"/>
  <Override PartName="/word/embeddings/oleObject1.bin" ContentType="application/vnd.openxmlformats-officedocument.oleObject"/>
  <Override PartName="/word/numbering.xml" ContentType="application/vnd.openxmlformats-officedocument.wordprocessingml.numbering+xml"/>
  <Override PartName="/word/media/image104.png" ContentType="image/png"/>
  <Override PartName="/word/media/image84.jpeg" ContentType="image/jpeg"/>
  <Override PartName="/word/media/image59.png" ContentType="image/png"/>
  <Override PartName="/word/media/image106.jpeg" ContentType="image/jpeg"/>
  <Override PartName="/word/media/image25.jpeg" ContentType="image/jpeg"/>
  <Override PartName="/word/media/image53.jpeg" ContentType="image/jpeg"/>
  <Override PartName="/word/media/image7.png" ContentType="image/png"/>
  <Override PartName="/word/media/image17.jpeg" ContentType="image/jpeg"/>
  <Override PartName="/word/media/image82.jpeg" ContentType="image/jpeg"/>
  <Override PartName="/word/media/image112.jpeg" ContentType="image/jpeg"/>
  <Override PartName="/word/media/image47.png" ContentType="image/png"/>
  <Override PartName="/word/media/image3.png" ContentType="image/png"/>
  <Override PartName="/word/media/image1.jpeg" ContentType="image/jpeg"/>
  <Override PartName="/word/media/image88.png" ContentType="image/png"/>
  <Override PartName="/word/media/image23.jpeg" ContentType="image/jpeg"/>
  <Override PartName="/word/media/image74.png" ContentType="image/png"/>
  <Override PartName="/word/media/image8.png" ContentType="image/png"/>
  <Override PartName="/word/media/image32.jpeg" ContentType="image/jpeg"/>
  <Override PartName="/word/media/image31.jpeg" ContentType="image/jpeg"/>
  <Override PartName="/word/media/image38.png" ContentType="image/png"/>
  <Override PartName="/word/media/image46.jpeg" ContentType="image/jpeg"/>
  <Override PartName="/word/media/image2.jpeg" ContentType="image/jpeg"/>
  <Override PartName="/word/media/image40.png" ContentType="image/png"/>
  <Override PartName="/word/media/image27.jpeg" ContentType="image/jpeg"/>
  <Override PartName="/word/media/image4.png" ContentType="image/png"/>
  <Override PartName="/word/media/image41.png" ContentType="image/png"/>
  <Override PartName="/word/media/image5.png" ContentType="image/png"/>
  <Override PartName="/word/media/image34.jpeg" ContentType="image/jpeg"/>
  <Override PartName="/word/media/image72.png" ContentType="image/png"/>
  <Override PartName="/word/media/image42.png" ContentType="image/png"/>
  <Override PartName="/word/media/image6.png" ContentType="image/png"/>
  <Override PartName="/word/media/image73.png" ContentType="image/png"/>
  <Override PartName="/word/media/image9.jpeg" ContentType="image/jpeg"/>
  <Override PartName="/word/media/image29.jpeg" ContentType="image/jpeg"/>
  <Override PartName="/word/media/image19.jpeg" ContentType="image/jpeg"/>
  <Override PartName="/word/media/image10.png" ContentType="image/png"/>
  <Override PartName="/word/media/image66.png" ContentType="image/png"/>
  <Override PartName="/word/media/image11.jpeg" ContentType="image/jpeg"/>
  <Override PartName="/word/media/image103.jpeg" ContentType="image/jpeg"/>
  <Override PartName="/word/media/image20.jpeg" ContentType="image/jpeg"/>
  <Override PartName="/word/media/image12.png" ContentType="image/png"/>
  <Override PartName="/word/media/image13.png" ContentType="image/png"/>
  <Override PartName="/word/media/image96.png" ContentType="image/png"/>
  <Override PartName="/word/media/image35.jpeg" ContentType="image/jpeg"/>
  <Override PartName="/word/media/image14.jpeg" ContentType="image/jpeg"/>
  <Override PartName="/word/media/image15.png" ContentType="image/png"/>
  <Override PartName="/word/media/image16.jpeg" ContentType="image/jpeg"/>
  <Override PartName="/word/media/image18.png" ContentType="image/png"/>
  <Override PartName="/word/media/image108.jpeg" ContentType="image/jpeg"/>
  <Override PartName="/word/media/image67.jpeg" ContentType="image/jpeg"/>
  <Override PartName="/word/media/image44.png" ContentType="image/png"/>
  <Override PartName="/word/media/image54.png" ContentType="image/png"/>
  <Override PartName="/word/media/image110.jpeg" ContentType="image/jpeg"/>
  <Override PartName="/word/media/image21.jpeg" ContentType="image/jpeg"/>
  <Override PartName="/word/media/image33.png" ContentType="image/png"/>
  <Override PartName="/word/media/image111.jpeg" ContentType="image/jpeg"/>
  <Override PartName="/word/media/image101.jpeg" ContentType="image/jpeg"/>
  <Override PartName="/word/media/image22.jpeg" ContentType="image/jpeg"/>
  <Override PartName="/word/media/image113.jpeg" ContentType="image/jpeg"/>
  <Override PartName="/word/media/image52.png" ContentType="image/png"/>
  <Override PartName="/word/media/image107.jpeg" ContentType="image/jpeg"/>
  <Override PartName="/word/media/image24.jpeg" ContentType="image/jpeg"/>
  <Override PartName="/word/media/image64.jpeg" ContentType="image/jpeg"/>
  <Override PartName="/word/media/image105.png" ContentType="image/png"/>
  <Override PartName="/word/media/image26.png" ContentType="image/png"/>
  <Override PartName="/word/media/image28.jpeg" ContentType="image/jpeg"/>
  <Override PartName="/word/media/image30.jpeg" ContentType="image/jpeg"/>
  <Override PartName="/word/media/image36.png" ContentType="image/png"/>
  <Override PartName="/word/media/image37.jpeg" ContentType="image/jpeg"/>
  <Override PartName="/word/media/image39.png" ContentType="image/png"/>
  <Override PartName="/word/media/image49.jpeg" ContentType="image/jpeg"/>
  <Override PartName="/word/media/image43.png" ContentType="image/png"/>
  <Override PartName="/word/media/image45.png" ContentType="image/png"/>
  <Override PartName="/word/media/image55.jpeg" ContentType="image/jpeg"/>
  <Override PartName="/word/media/image48.png" ContentType="image/png"/>
  <Override PartName="/word/media/image50.jpeg" ContentType="image/jpeg"/>
  <Override PartName="/word/media/image51.jpeg" ContentType="image/jpeg"/>
  <Override PartName="/word/media/image56.png" ContentType="image/png"/>
  <Override PartName="/word/media/image57.jpeg" ContentType="image/jpeg"/>
  <Override PartName="/word/media/image58.png" ContentType="image/png"/>
  <Override PartName="/word/media/image60.jpeg" ContentType="image/jpeg"/>
  <Override PartName="/word/media/image63.png" ContentType="image/png"/>
  <Override PartName="/word/media/image61.jpeg" ContentType="image/jpeg"/>
  <Override PartName="/word/media/image62.png" ContentType="image/png"/>
  <Override PartName="/word/media/image65.jpeg" ContentType="image/jpeg"/>
  <Override PartName="/word/media/image68.png" ContentType="image/png"/>
  <Override PartName="/word/media/image69.png" ContentType="image/png"/>
  <Override PartName="/word/media/image70.jpeg" ContentType="image/jpeg"/>
  <Override PartName="/word/media/image71.jpeg" ContentType="image/jpeg"/>
  <Override PartName="/word/media/image75.jpeg" ContentType="image/jpeg"/>
  <Override PartName="/word/media/image80.png" ContentType="image/png"/>
  <Override PartName="/word/media/image76.jpeg" ContentType="image/jpeg"/>
  <Override PartName="/word/media/image77.png" ContentType="image/png"/>
  <Override PartName="/word/media/image78.png" ContentType="image/png"/>
  <Override PartName="/word/media/image79.png" ContentType="image/png"/>
  <Override PartName="/word/media/image81.jpeg" ContentType="image/jpeg"/>
  <Override PartName="/word/media/image83.png" ContentType="image/png"/>
  <Override PartName="/word/media/image85.png" ContentType="image/png"/>
  <Override PartName="/word/media/image86.png" ContentType="image/png"/>
  <Override PartName="/word/media/image109.jpeg" ContentType="image/jpeg"/>
  <Override PartName="/word/media/image89.png" ContentType="image/png"/>
  <Override PartName="/word/media/image87.jpeg" ContentType="image/jpeg"/>
  <Override PartName="/word/media/image90.png" ContentType="image/png"/>
  <Override PartName="/word/media/image91.jpeg" ContentType="image/jpeg"/>
  <Override PartName="/word/media/image92.png" ContentType="image/png"/>
  <Override PartName="/word/media/image93.jpeg" ContentType="image/jpeg"/>
  <Override PartName="/word/media/image94.png" ContentType="image/png"/>
  <Override PartName="/word/media/image95.jpeg" ContentType="image/jpeg"/>
  <Override PartName="/word/media/image97.jpeg" ContentType="image/jpeg"/>
  <Override PartName="/word/media/image98.jpeg" ContentType="image/jpeg"/>
  <Override PartName="/word/media/image99.jpeg" ContentType="image/jpeg"/>
  <Override PartName="/word/media/image100.png" ContentType="image/png"/>
  <Override PartName="/word/media/image102.png" ContentType="image/png"/>
  <Override PartName="/word/media/image114.png" ContentType="image/png"/>
  <Override PartName="/word/media/image115.png" ContentType="image/png"/>
  <Override PartName="/word/media/image116.png" ContentType="image/png"/>
  <Override PartName="/word/media/image117.png" ContentType="image/png"/>
  <Override PartName="/word/header1.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header3.xml.rels" ContentType="application/vnd.openxmlformats-package.relationships+xml"/>
  <Override PartName="/word/_rels/document.xml.rels" ContentType="application/vnd.openxmlformats-package.relationships+xml"/>
  <Override PartName="/word/_rels/header2.xml.rels" ContentType="application/vnd.openxmlformats-package.relationships+xml"/>
  <Override PartName="/word/_rels/footer3.xml.rels" ContentType="application/vnd.openxmlformats-package.relationships+xml"/>
  <Override PartName="/docProps/custom.xml" ContentType="application/vnd.openxmlformats-officedocument.custom-properties+xml"/>
  <Override PartName="/docProps/core.xml" ContentType="application/vnd.openxmlformats-package.core-properties+xml"/>
  <Override PartName="/docProps/app.xml" ContentType="application/vnd.openxmlformats-officedocument.extended-propertie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Override PartName="/_rels/.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spacing w:before="5200" w:after="200"/>
        <w:jc w:val="center"/>
        <w:rPr>
          <w:color w:val="auto"/>
        </w:rPr>
      </w:pPr>
      <w:bookmarkStart w:id="0" w:name="_Hlk137216720"/>
      <w:bookmarkEnd w:id="0"/>
      <w:r>
        <w:rPr>
          <w:rFonts w:cs="Arial" w:ascii="Arial" w:hAnsi="Arial"/>
          <w:b/>
          <w:caps/>
          <w:color w:val="000000"/>
          <w:shd w:fill="auto" w:val="clear"/>
        </w:rPr>
        <w:t>F</w:t>
      </w:r>
      <w:r>
        <w:rPr>
          <w:rFonts w:cs="Arial" w:ascii="Arial" w:hAnsi="Arial"/>
          <w:b/>
          <w:caps/>
          <w:color w:val="000000"/>
          <w:shd w:fill="auto" w:val="clear"/>
        </w:rPr>
        <w:t>TECHNINĖ SPECIFIKACIJA</w:t>
      </w:r>
    </w:p>
    <w:p>
      <w:pPr>
        <w:pStyle w:val="Normal"/>
        <w:rPr>
          <w:rFonts w:ascii="Arial" w:hAnsi="Arial" w:cs="Arial"/>
          <w:b/>
          <w:bCs/>
          <w:color w:val="auto"/>
          <w:sz w:val="20"/>
          <w:szCs w:val="20"/>
          <w:highlight w:val="none"/>
          <w:shd w:fill="auto" w:val="clear"/>
        </w:rPr>
      </w:pPr>
      <w:r>
        <w:rPr>
          <w:rFonts w:cs="Arial" w:ascii="Arial" w:hAnsi="Arial"/>
          <w:b/>
          <w:bCs/>
          <w:color w:val="auto"/>
          <w:sz w:val="20"/>
          <w:szCs w:val="20"/>
          <w:shd w:fill="auto" w:val="clear"/>
        </w:rPr>
      </w:r>
    </w:p>
    <w:p>
      <w:pPr>
        <w:pStyle w:val="Normal"/>
        <w:rPr>
          <w:color w:val="auto"/>
          <w:highlight w:val="none"/>
          <w:shd w:fill="auto" w:val="clear"/>
        </w:rPr>
      </w:pPr>
      <w:r>
        <w:rPr>
          <w:color w:val="auto"/>
          <w:shd w:fill="auto" w:val="clear"/>
        </w:rPr>
      </w:r>
      <w:bookmarkStart w:id="1" w:name="_Hlk137216720_Copy_1"/>
      <w:bookmarkStart w:id="2" w:name="_Hlk137216720_Copy_1"/>
      <w:bookmarkEnd w:id="2"/>
    </w:p>
    <w:p>
      <w:pPr>
        <w:pStyle w:val="Normal"/>
        <w:rPr>
          <w:rFonts w:ascii="Arial" w:hAnsi="Arial" w:cs="Arial"/>
          <w:color w:val="auto"/>
          <w:sz w:val="20"/>
          <w:szCs w:val="20"/>
          <w:highlight w:val="none"/>
          <w:shd w:fill="auto" w:val="clear"/>
        </w:rPr>
      </w:pPr>
      <w:r>
        <w:rPr>
          <w:rFonts w:cs="Arial" w:ascii="Arial" w:hAnsi="Arial"/>
          <w:color w:val="auto"/>
          <w:sz w:val="20"/>
          <w:szCs w:val="20"/>
          <w:shd w:fill="auto" w:val="clear"/>
        </w:rPr>
      </w:r>
    </w:p>
    <w:p>
      <w:pPr>
        <w:pStyle w:val="Normal"/>
        <w:tabs>
          <w:tab w:val="clear" w:pos="1296"/>
          <w:tab w:val="left" w:pos="1665" w:leader="none"/>
        </w:tabs>
        <w:rPr>
          <w:color w:val="auto"/>
        </w:rPr>
      </w:pPr>
      <w:r>
        <w:rPr>
          <w:rFonts w:cs="Arial" w:ascii="Arial" w:hAnsi="Arial"/>
          <w:color w:val="000000"/>
          <w:sz w:val="20"/>
          <w:szCs w:val="20"/>
          <w:shd w:fill="auto" w:val="clear"/>
        </w:rPr>
        <w:tab/>
      </w:r>
    </w:p>
    <w:p>
      <w:pPr>
        <w:pStyle w:val="Normal"/>
        <w:rPr>
          <w:rFonts w:ascii="Arial" w:hAnsi="Arial" w:cs="Arial"/>
          <w:color w:val="auto"/>
          <w:sz w:val="20"/>
          <w:szCs w:val="20"/>
          <w:highlight w:val="none"/>
          <w:shd w:fill="auto" w:val="clear"/>
        </w:rPr>
      </w:pPr>
      <w:r>
        <w:rPr>
          <w:rFonts w:cs="Arial" w:ascii="Arial" w:hAnsi="Arial"/>
          <w:color w:val="auto"/>
          <w:sz w:val="20"/>
          <w:szCs w:val="20"/>
          <w:shd w:fill="auto" w:val="clear"/>
        </w:rPr>
      </w:r>
      <w:r>
        <w:br w:type="page"/>
      </w:r>
    </w:p>
    <w:p>
      <w:pPr>
        <w:pStyle w:val="Paprtekstas"/>
        <w:widowControl/>
        <w:suppressAutoHyphens w:val="true"/>
        <w:bidi w:val="0"/>
        <w:spacing w:lineRule="auto" w:line="276" w:before="0" w:after="120"/>
        <w:rPr>
          <w:color w:val="auto"/>
        </w:rPr>
      </w:pPr>
      <w:r>
        <w:rPr>
          <w:rFonts w:eastAsia="Times New Roman" w:cs="Times New Roman"/>
          <w:b/>
          <w:bCs/>
          <w:color w:val="auto"/>
          <w:kern w:val="0"/>
          <w:sz w:val="22"/>
          <w:szCs w:val="22"/>
          <w:lang w:val="lt-LT" w:eastAsia="en-US" w:bidi="ar-SA"/>
        </w:rPr>
        <w:t xml:space="preserve">1. </w:t>
      </w:r>
      <w:bookmarkStart w:id="3" w:name="_Toc151705639"/>
      <w:bookmarkStart w:id="4" w:name="_Toc172728618"/>
      <w:r>
        <w:rPr>
          <w:rFonts w:eastAsia="Times New Roman" w:cs="Times New Roman"/>
          <w:b/>
          <w:bCs/>
          <w:color w:val="auto"/>
          <w:kern w:val="0"/>
          <w:sz w:val="22"/>
          <w:szCs w:val="22"/>
          <w:lang w:val="lt-LT" w:eastAsia="en-US" w:bidi="ar-SA"/>
        </w:rPr>
        <w:t>Bendrieji reikalavimai</w:t>
      </w:r>
      <w:bookmarkEnd w:id="3"/>
      <w:bookmarkEnd w:id="4"/>
    </w:p>
    <w:p>
      <w:pPr>
        <w:pStyle w:val="Paprtekstas"/>
        <w:widowControl/>
        <w:suppressAutoHyphens w:val="true"/>
        <w:bidi w:val="0"/>
        <w:spacing w:lineRule="auto" w:line="276"/>
        <w:rPr>
          <w:color w:val="auto"/>
        </w:rPr>
      </w:pPr>
      <w:r>
        <w:rPr>
          <w:rFonts w:eastAsia="Times New Roman" w:cs="Times New Roman"/>
          <w:b/>
          <w:bCs/>
          <w:color w:val="auto"/>
          <w:kern w:val="0"/>
          <w:sz w:val="22"/>
          <w:szCs w:val="22"/>
          <w:lang w:val="lt-LT" w:eastAsia="en-US" w:bidi="ar-SA"/>
        </w:rPr>
        <w:t xml:space="preserve">1.1. </w:t>
      </w:r>
      <w:bookmarkStart w:id="5" w:name="_Toc87278561"/>
      <w:bookmarkStart w:id="6" w:name="_Toc90367955"/>
      <w:bookmarkStart w:id="7" w:name="_Toc151705640"/>
      <w:bookmarkStart w:id="8" w:name="_Toc172728619"/>
      <w:r>
        <w:rPr>
          <w:rFonts w:eastAsia="Times New Roman" w:cs="Times New Roman"/>
          <w:b/>
          <w:bCs/>
          <w:color w:val="auto"/>
          <w:kern w:val="0"/>
          <w:sz w:val="22"/>
          <w:szCs w:val="22"/>
          <w:lang w:val="lt-LT" w:eastAsia="en-US" w:bidi="ar-SA"/>
        </w:rPr>
        <w:t>Bendrieji nurodymai atlikti reikalingus tyrimus prieš rengiant projekto dalies darbo projektą</w:t>
      </w:r>
      <w:bookmarkEnd w:id="5"/>
      <w:bookmarkEnd w:id="6"/>
      <w:bookmarkEnd w:id="7"/>
      <w:bookmarkEnd w:id="8"/>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Vadovaujantis STR 1.04.04:2017 „Statinio projektavimas, statinio ekspertizė“ reikalavimais, statinio projekto (toliau – Projektas) brėžiniai turi būti rengiami vadovaujantis ne senesniu kaip 3 metų topografiniu planu (nuo statinio projektavimo pradžios), kuris patikslinamas (jei reikia) projekto rengimo metu.</w:t>
      </w:r>
    </w:p>
    <w:p>
      <w:pPr>
        <w:pStyle w:val="Paprtekstas"/>
        <w:widowControl/>
        <w:numPr>
          <w:ilvl w:val="0"/>
          <w:numId w:val="0"/>
        </w:numPr>
        <w:suppressAutoHyphens w:val="true"/>
        <w:bidi w:val="0"/>
        <w:spacing w:lineRule="auto" w:line="276"/>
        <w:ind w:hanging="0" w:left="851"/>
        <w:rPr>
          <w:color w:val="auto"/>
        </w:rPr>
      </w:pPr>
      <w:r>
        <w:rPr>
          <w:rFonts w:eastAsia="Times New Roman" w:cs="Times New Roman"/>
          <w:b/>
          <w:bCs/>
          <w:color w:val="auto"/>
          <w:kern w:val="0"/>
          <w:sz w:val="22"/>
          <w:szCs w:val="22"/>
          <w:lang w:val="lt-LT" w:eastAsia="en-US" w:bidi="ar-SA"/>
        </w:rPr>
        <w:t xml:space="preserve">1.2. </w:t>
      </w:r>
      <w:bookmarkStart w:id="9" w:name="_Toc87278562"/>
      <w:bookmarkStart w:id="10" w:name="_Toc90367956"/>
      <w:bookmarkStart w:id="11" w:name="_Toc151705641"/>
      <w:bookmarkStart w:id="12" w:name="_Toc172728620"/>
      <w:bookmarkStart w:id="13" w:name="_Toc480383881"/>
      <w:bookmarkStart w:id="14" w:name="_Toc491948590"/>
      <w:bookmarkStart w:id="15" w:name="_Toc520294570"/>
      <w:bookmarkStart w:id="16" w:name="_Toc30509126"/>
      <w:r>
        <w:rPr>
          <w:rFonts w:eastAsia="Times New Roman" w:cs="Times New Roman"/>
          <w:b/>
          <w:bCs/>
          <w:color w:val="auto"/>
          <w:kern w:val="0"/>
          <w:sz w:val="22"/>
          <w:szCs w:val="22"/>
          <w:lang w:val="lt-LT" w:eastAsia="en-US" w:bidi="ar-SA"/>
        </w:rPr>
        <w:t>Įstatymai ir normatyviniai dokumentai, kuriais privaloma vadovautis vykdant statybos darbus</w:t>
      </w:r>
      <w:bookmarkEnd w:id="9"/>
      <w:bookmarkEnd w:id="10"/>
      <w:bookmarkEnd w:id="11"/>
      <w:bookmarkEnd w:id="12"/>
      <w:bookmarkEnd w:id="13"/>
      <w:bookmarkEnd w:id="14"/>
      <w:bookmarkEnd w:id="15"/>
      <w:bookmarkEnd w:id="16"/>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Vykdant statybos darbus, žemės darbai turi būti vykdomi pagal STR 1.06.01:2016 „Statybos darbai. Statinio statybos priežiūra“ bei Automobilių kelių žemės darbų atlikimo ir žemės sankasos įrengimo taisyklėmis ĮT ŽS 17. Rengiant konstrukcijos pagrindo sluoksnius, vadovautis Automobilių kelių dangos konstrukcijos sluoksnių be rišiklių įrengimo taisyklėmis ĮT SBR 19, Automobilių kelių mineralinių medžiagų mišinių, naudojamų sluoksniams be rišiklių, techninių reikalavimų aprašu TRA SBR 19, Automobilių kelių mineralinių medžiagų techninių reikalavimų aprašu TRA UŽPILDAI 19. Asfalto dangą rengti vadovaujantis Automobilių dangos konstrukcijos asfalto sluoksnių įrengimo taisyklėmis ĮT ASFALTAS 24, Automobilių kelių asfalto mišinių techninių reikalavimų aprašu TRA ASFALTAS 24, Kelių bitumų ir polimerais modifikuotų bitumų naudojamų automobilių keliuose techninių reikalavimų aprašu TRA BITUMAS 23.</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 xml:space="preserve">Statybos metu RANGOVAS privalo vadovautis ne tik šiose Techninėse specifikacijose išvardintais reikalavimais, bet ir visais kitais su šios projekto dalies įgyvendinimu susijusiais teisės aktais, įstatymais, reikalavimais, standartais ir normatyviniais dokumentais. </w:t>
      </w:r>
    </w:p>
    <w:p>
      <w:pPr>
        <w:pStyle w:val="Paprtekstas"/>
        <w:widowControl/>
        <w:numPr>
          <w:ilvl w:val="0"/>
          <w:numId w:val="0"/>
        </w:numPr>
        <w:suppressAutoHyphens w:val="true"/>
        <w:bidi w:val="0"/>
        <w:spacing w:lineRule="auto" w:line="276"/>
        <w:ind w:hanging="0" w:left="851"/>
        <w:rPr>
          <w:color w:val="auto"/>
        </w:rPr>
      </w:pPr>
      <w:r>
        <w:rPr>
          <w:rFonts w:eastAsia="Times New Roman" w:cs="Times New Roman"/>
          <w:b/>
          <w:bCs/>
          <w:color w:val="auto"/>
          <w:kern w:val="0"/>
          <w:sz w:val="22"/>
          <w:szCs w:val="22"/>
          <w:lang w:val="lt-LT" w:eastAsia="en-US" w:bidi="ar-SA"/>
        </w:rPr>
        <w:t xml:space="preserve">1.3. </w:t>
      </w:r>
      <w:bookmarkStart w:id="17" w:name="_Toc87278563"/>
      <w:bookmarkStart w:id="18" w:name="_Toc90367957"/>
      <w:bookmarkStart w:id="19" w:name="_Toc151705642"/>
      <w:bookmarkStart w:id="20" w:name="_Toc172728621"/>
      <w:bookmarkStart w:id="21" w:name="_Toc480383882"/>
      <w:bookmarkStart w:id="22" w:name="_Toc491948591"/>
      <w:bookmarkStart w:id="23" w:name="_Toc520294571"/>
      <w:bookmarkStart w:id="24" w:name="_Toc30509127"/>
      <w:r>
        <w:rPr>
          <w:rFonts w:eastAsia="Times New Roman" w:cs="Times New Roman"/>
          <w:b/>
          <w:bCs/>
          <w:color w:val="auto"/>
          <w:kern w:val="0"/>
          <w:sz w:val="22"/>
          <w:szCs w:val="22"/>
          <w:lang w:val="lt-LT" w:eastAsia="en-US" w:bidi="ar-SA"/>
        </w:rPr>
        <w:t>Kiti bendrieji reikalavimai</w:t>
      </w:r>
      <w:bookmarkEnd w:id="17"/>
      <w:bookmarkEnd w:id="18"/>
      <w:bookmarkEnd w:id="19"/>
      <w:bookmarkEnd w:id="20"/>
      <w:bookmarkEnd w:id="21"/>
      <w:bookmarkEnd w:id="22"/>
      <w:bookmarkEnd w:id="23"/>
      <w:bookmarkEnd w:id="24"/>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Prieš Statybos darbų pradžią Rangovas privalo susipažinti su Projektui išduotomis ir prie jo pridėtomis projektavimo/prisijungimo/apsaugojimo sąlygomis, kadangi kai kurie tretieji asmenys nurodo reikalavimus, kurių turi būti laikomasi prieš statybos darbų pradžią ir/ar statybos darbų vykdymo metu. Tokie nurodymai yra privalomi Rangovui.</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Projekto geodeziniai tyrinėjimai yra parengti žmogaus pasitelkiant techniką, kompiuterinę įrangą ir kt. Kiekvieno jų darbas turi paklaidas, todėl statybos metu gali būti pastebėti nedideli (neesminiai) neatitikimai tarp topografinės nuotraukos ir esamos situacijos. Dėl šių neatitikimų statybos metu gali išryškėti ir nedideli matmenų ar kiekių neatitikimai. Projektiniai sprendiniai parengti idealių tiesių ir geometrinių figūrų kompiuterinėje aplinkoje, ko pasėkoje vykdant statybos darbus realioje aplinkoje Rangovas taip pat gali susidurti su neesminiais sprendinių ir/ar kiekių neatitikimais. Remiantis aukščiau išdėstytu Rangovas privalo:</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w:t>
        <w:tab/>
        <w:t>dėti visas pastangas, kad būtų įgyvendinti projekte numatyti projektiniai sprendiniai;</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w:t>
        <w:tab/>
        <w:t>įsivertinti galimus nežymius matmenų ir/ar kiekių neatitikimus;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w:t>
        <w:tab/>
        <w:t>apie pastebėtus neatitikimus nedelsiant pranešti techninės priežiūros vadovui (Inžinieriui) išsamiai paaiškinant situaciją.</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Dėl aukščiau minėtų priežasčių ir kitų nenumatytų atvejų, jeigu turi būti keičiami techninio darbo projekto sprendiniai, tam turi būti gautas Techninės priežiūros vadovo, Statytojo, Projekto vykdymo priežiūros vadovo ir Projektuotojo sutikimas. Projekto keitimai ir/ar papildymai, taisymai atliekami parengiant naujos laidos projektą ar projekto sprendinių dokumentą(-us). Keičiant dokumentus kiekvieną kartą dokumentui suteikiama nauja laida.</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Projekte pateikti darbų kiekių žiniaraščiai skirti pakankamai tiksliai įvertinti numatomas statybos darbų sąnaudas, tačiau vykdant statybos darbus, kai kurios darbų kiekių žiniaraščių pozicijų vertės gali būti patikslintos ar atsirasti naujų, jei tai yra būtina norint tinkamai įgyvendinti projekto techninėse specifikacijose, aiškinamuosiuose raštuose ar brėžiniuose numatytus sprendinius vadovaujantis [STR1.04.04:2017 „Statinio projektavimas, projekto ekspertizė“ V sk. 37 p.].</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Statybos metu aptikus sprendinių įgyvendinimui trukdančius elementus, kurių Projekte nenumatyta demontuoti ir/ar kurių nėra pažymėta inžineriniuose topografiniuose tyrinėjimuose, tačiau tinkamam projekto įgyvendinimui jie privalo būti pašalinti – jie turi būti pašalinti. Apie nenumatytus radinius Rangovas privalo nedelsiant informuoti Inžinierių, dėl tolimesnių veiksmų.</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Statyboje naudojamos statybinės medžiagos turi atitikti minimalius aplinkos apsaugos kriterijus, kaip tai nustatyta Lietuvos Respublikos aplinkos ministro 2011-06-28 įsakyme Nr. D1-508 „Dėl produktų, kurių viešiesiems pirkimams taikytini aplinkos apsaugos kriterijai, sąrašų, aplinkos apsaugos kriterijų ir aplinkos apsaugos kriterijų, kuriuos perkančiosios organizacijos turi taikyti pirkdamos prekes, paslaugas ar darbus, taikymo tvarkos aprašo patvirtinimo“.</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Vykdant statybos darbus turi būti naudojamos ilgaamžės, atsparios, tvirtos ir/ar antivandalinės medžiagos/elementai, jeigu nenurodyta kitaip, medžiaga laikoma atitinkančia šias sąlygas, jeigu per visą numatytą</w:t>
      </w:r>
      <w:r>
        <w:rPr>
          <w:color w:val="000000"/>
          <w:sz w:val="20"/>
          <w:shd w:fill="auto" w:val="clear"/>
        </w:rPr>
        <w:t xml:space="preserve"> naudojimo laiką ji atlieka savo tiesiogines funkcijas, susietas su stiprumu ir pastovumu, tinkamumu naudoti.</w:t>
      </w:r>
    </w:p>
    <w:p>
      <w:pPr>
        <w:pStyle w:val="Paprtekstas"/>
        <w:widowControl/>
        <w:suppressAutoHyphens w:val="true"/>
        <w:bidi w:val="0"/>
        <w:spacing w:lineRule="auto" w:line="276"/>
        <w:rPr>
          <w:color w:val="auto"/>
        </w:rPr>
      </w:pPr>
      <w:r>
        <w:rPr>
          <w:rFonts w:eastAsia="Times New Roman" w:cs="Times New Roman"/>
          <w:color w:val="000000"/>
          <w:kern w:val="0"/>
          <w:szCs w:val="24"/>
          <w:shd w:fill="auto" w:val="clear"/>
          <w:lang w:val="lt-LT" w:eastAsia="en-US" w:bidi="ar-SA"/>
        </w:rPr>
        <w:t>Projekte nurodytos medžiagos, detalės, elementai, įrengimai ir visa kita privalo būti montuojami/pastatomi/įrengiami ne tik pagal galiojančius normatyvinius statybos techninius dokumentus bet ir laikantis pasirinkto medžiagų tiekėjo pateikiamomis įrengimo taisyklėmis, rekomendacijomis, montavimo instrukcijomis ir kita. Vertindamas projekte pateiktus medžiagų ir darbų kiekius Rangovas turi papildomai įsivertinti reikalingus papildomus medžiagų kiekius (tokius kaip medžiagų užlaidos, sutankinimas, sudėtis, sluoksniai, tvirtinimas, papildomos medžiagos ir kita)  nurodytus Tiekėjo montavimo instrukcijose/taisyklėse/rekomendacijose.</w:t>
      </w:r>
    </w:p>
    <w:p>
      <w:pPr>
        <w:pStyle w:val="Paprtekstas"/>
        <w:widowControl/>
        <w:suppressAutoHyphens w:val="true"/>
        <w:bidi w:val="0"/>
        <w:spacing w:lineRule="auto" w:line="276"/>
        <w:rPr>
          <w:color w:val="auto"/>
        </w:rPr>
      </w:pPr>
      <w:bookmarkStart w:id="25" w:name="_Toc480383884"/>
      <w:bookmarkStart w:id="26" w:name="_Toc491948593"/>
      <w:bookmarkStart w:id="27" w:name="_Toc520294573"/>
      <w:bookmarkStart w:id="28" w:name="_Toc30509129"/>
      <w:r>
        <w:rPr>
          <w:rFonts w:eastAsia="Times New Roman" w:cs="Times New Roman"/>
          <w:color w:val="000000"/>
          <w:kern w:val="0"/>
          <w:szCs w:val="24"/>
          <w:shd w:fill="auto" w:val="clear"/>
          <w:lang w:val="lt-LT" w:eastAsia="en-US" w:bidi="ar-SA"/>
        </w:rPr>
        <w:t>Privažiavimo ir priėjimo keliai prie gaisro gesinimo įrangos, gaisro hidrantų turi būti visą laiką laisvi. Apie statinio statybos darbų vykdymą arba kitas priežastis, kurios trukdytų pravažiavimui gaisrininkų technikai, būtina raštiškai pranešti artimiausiai priešgaisrinei gelbėjimo stočiai: nurodyti remonto trukmę, pateikti ruožo, kuriame vykdomi statybos darbai, schemą, pastatyti ženklus, nurodančius apvažiavimo kelią.</w:t>
      </w:r>
      <w:bookmarkEnd w:id="25"/>
      <w:bookmarkEnd w:id="26"/>
      <w:bookmarkEnd w:id="27"/>
      <w:bookmarkEnd w:id="28"/>
    </w:p>
    <w:p>
      <w:pPr>
        <w:pStyle w:val="Paprtekstas"/>
        <w:widowControl/>
        <w:suppressAutoHyphens w:val="true"/>
        <w:bidi w:val="0"/>
        <w:spacing w:lineRule="auto" w:line="276" w:before="0" w:after="120"/>
        <w:ind w:hanging="0"/>
        <w:rPr>
          <w:color w:val="auto"/>
        </w:rPr>
      </w:pPr>
      <w:r>
        <w:rPr>
          <w:rFonts w:eastAsia="Times New Roman" w:cs="Times New Roman"/>
          <w:b/>
          <w:bCs/>
          <w:color w:val="000000"/>
          <w:kern w:val="0"/>
          <w:sz w:val="22"/>
          <w:szCs w:val="22"/>
          <w:shd w:fill="auto" w:val="clear"/>
          <w:lang w:val="lt-LT" w:eastAsia="en-US" w:bidi="ar-SA"/>
        </w:rPr>
        <w:tab/>
        <w:t xml:space="preserve">2. GRIOVIMO DARBAI IR </w:t>
      </w:r>
      <w:bookmarkStart w:id="29" w:name="_Toc151705639_Copy_1"/>
      <w:bookmarkStart w:id="30" w:name="_Toc172728618_Copy_1"/>
      <w:r>
        <w:rPr>
          <w:rFonts w:eastAsia="Times New Roman" w:cs="Times New Roman"/>
          <w:b/>
          <w:bCs/>
          <w:color w:val="000000"/>
          <w:kern w:val="0"/>
          <w:sz w:val="22"/>
          <w:szCs w:val="22"/>
          <w:shd w:fill="auto" w:val="clear"/>
          <w:lang w:val="lt-LT" w:eastAsia="en-US" w:bidi="ar-SA"/>
        </w:rPr>
        <w:t>ESAMŲ ELEMENTŲ IŠSAUGOJIMAS</w:t>
      </w:r>
      <w:bookmarkEnd w:id="29"/>
      <w:bookmarkEnd w:id="30"/>
    </w:p>
    <w:p>
      <w:pPr>
        <w:pStyle w:val="Paprtekstas"/>
        <w:widowControl/>
        <w:suppressAutoHyphens w:val="true"/>
        <w:bidi w:val="0"/>
        <w:spacing w:lineRule="auto" w:line="276"/>
        <w:rPr>
          <w:color w:val="auto"/>
        </w:rPr>
      </w:pPr>
      <w:r>
        <w:rPr>
          <w:rFonts w:eastAsia="Times New Roman" w:cs="Times New Roman"/>
          <w:b w:val="false"/>
          <w:bCs w:val="false"/>
          <w:i/>
          <w:iCs/>
          <w:color w:val="000000"/>
          <w:kern w:val="0"/>
          <w:szCs w:val="24"/>
          <w:u w:val="single"/>
          <w:shd w:fill="auto" w:val="clear"/>
          <w:lang w:val="lt-LT" w:eastAsia="en-US" w:bidi="ar-SA"/>
        </w:rPr>
        <w:t>Bendroji dalis</w:t>
      </w:r>
    </w:p>
    <w:p>
      <w:pPr>
        <w:pStyle w:val="Paprtekstas"/>
        <w:widowControl/>
        <w:suppressAutoHyphens w:val="true"/>
        <w:bidi w:val="0"/>
        <w:spacing w:lineRule="auto" w:line="276"/>
        <w:rPr>
          <w:color w:val="auto"/>
        </w:rPr>
      </w:pPr>
      <w:r>
        <w:rPr>
          <w:rFonts w:eastAsia="Times New Roman" w:cs="Times New Roman"/>
          <w:color w:val="000000"/>
          <w:kern w:val="0"/>
          <w:szCs w:val="24"/>
          <w:shd w:fill="auto" w:val="clear"/>
          <w:lang w:val="lt-LT" w:eastAsia="en-US" w:bidi="ar-SA"/>
        </w:rPr>
        <w:t>Esamų griaunamų pastatų ir statinių, mažosios architektūros elementų konstrukcijas išardyti kartu su pamatais. Ardant konstrukcijas saugoti esamus šlaitus, reljefą bei medžius. Projekte numatytas griaunamas sienas demontuoti, taip kad nepažeisti pastato stabilumo. Numatytas konstrukcijas demontuoti vadovaujantis Pasirengimo statybai ir statybos darbų organizavimo dalimi. Esant poreikiui, Rangovas privalo užtikrinti laikiną statinių elementų stabilumą kol bus atlikti projekte numatytai sprendiniai.</w:t>
      </w:r>
    </w:p>
    <w:p>
      <w:pPr>
        <w:pStyle w:val="Paprtekstas"/>
        <w:widowControl/>
        <w:suppressAutoHyphens w:val="true"/>
        <w:bidi w:val="0"/>
        <w:spacing w:lineRule="auto" w:line="276"/>
        <w:rPr>
          <w:color w:val="auto"/>
        </w:rPr>
      </w:pPr>
      <w:r>
        <w:rPr>
          <w:rFonts w:eastAsia="Times New Roman" w:cs="Times New Roman"/>
          <w:color w:val="000000"/>
          <w:kern w:val="0"/>
          <w:szCs w:val="24"/>
          <w:shd w:fill="auto" w:val="clear"/>
          <w:lang w:val="lt-LT" w:eastAsia="en-US" w:bidi="ar-SA"/>
        </w:rPr>
        <w:t>Esama sklypo danga ir jų konstrukcija ardoma kartu su dangos konstrukcijos sluoksniais ir išvežama;</w:t>
      </w:r>
    </w:p>
    <w:p>
      <w:pPr>
        <w:pStyle w:val="Paprtekstas"/>
        <w:widowControl/>
        <w:suppressAutoHyphens w:val="true"/>
        <w:bidi w:val="0"/>
        <w:spacing w:lineRule="auto" w:line="276"/>
        <w:rPr>
          <w:color w:val="auto"/>
        </w:rPr>
      </w:pPr>
      <w:r>
        <w:rPr>
          <w:rFonts w:eastAsia="Times New Roman" w:cs="Times New Roman"/>
          <w:color w:val="000000"/>
          <w:kern w:val="0"/>
          <w:szCs w:val="24"/>
          <w:shd w:fill="auto" w:val="clear"/>
          <w:lang w:val="lt-LT" w:eastAsia="en-US" w:bidi="ar-SA"/>
        </w:rPr>
        <w:t>Ardomi mažosios architektūros ar kiti elementai turi būti išmontuoti kartu su pamatais. Statybos metu išmontuojami elementai, kuriuos galima panaudoti, privalo būti saugomi, kad nepakistų jų pirminė būklė, vaizdas ir savybės. Statytojui pageidaujant, sveikus elementus (akmeninius, betoninius ir kt.), kuriuos būtų galima panaudoti miesto aplinkos tvarkymo darbams, atrinkti ir perduoti užsakovui, bei išvežti į Statytojo nurodytą vietą, kitus elementus išvežti į sąvartynus ar atliekų rūšiavimo aikšteles.</w:t>
      </w:r>
    </w:p>
    <w:p>
      <w:pPr>
        <w:pStyle w:val="Paprtekstas"/>
        <w:widowControl/>
        <w:suppressAutoHyphens w:val="true"/>
        <w:bidi w:val="0"/>
        <w:spacing w:lineRule="auto" w:line="276"/>
        <w:rPr>
          <w:color w:val="auto"/>
        </w:rPr>
      </w:pPr>
      <w:r>
        <w:rPr>
          <w:rFonts w:eastAsia="Times New Roman" w:cs="Times New Roman"/>
          <w:color w:val="000000"/>
          <w:kern w:val="0"/>
          <w:szCs w:val="24"/>
          <w:shd w:fill="auto" w:val="clear"/>
          <w:lang w:val="lt-LT" w:eastAsia="en-US" w:bidi="ar-SA"/>
        </w:rPr>
        <w:t>Išmontuotus šviestuvus  Užsakovui pageidaujant, pervežti į nurodytą vietą.</w:t>
      </w:r>
    </w:p>
    <w:p>
      <w:pPr>
        <w:pStyle w:val="Paprtekstas"/>
        <w:widowControl/>
        <w:suppressAutoHyphens w:val="true"/>
        <w:bidi w:val="0"/>
        <w:spacing w:lineRule="auto" w:line="276"/>
        <w:rPr>
          <w:color w:val="auto"/>
        </w:rPr>
      </w:pPr>
      <w:r>
        <w:rPr>
          <w:rFonts w:eastAsia="Times New Roman" w:cs="Times New Roman"/>
          <w:color w:val="000000"/>
          <w:kern w:val="0"/>
          <w:szCs w:val="24"/>
          <w:shd w:fill="auto" w:val="clear"/>
          <w:lang w:val="lt-LT" w:eastAsia="en-US" w:bidi="ar-SA"/>
        </w:rPr>
        <w:t xml:space="preserve">Medžių šalinimo darbus atlikti nustatyta tvarka - pagal brėžinius ir šalinamų medžių žiniaraštį. Medžius šalinti su kelmais. </w:t>
      </w:r>
    </w:p>
    <w:p>
      <w:pPr>
        <w:pStyle w:val="Paprtekstas"/>
        <w:bidi w:val="0"/>
        <w:rPr>
          <w:color w:val="auto"/>
        </w:rPr>
      </w:pPr>
      <w:r>
        <w:rPr>
          <w:color w:val="auto"/>
          <w:lang w:val="lt-LT" w:eastAsia="en-US" w:bidi="ar-SA"/>
        </w:rPr>
        <w:t>Daugiau apie griovimo ir ardymo darbus žiūr. Pasirengimo statybai ir statybos darbų organizavimo dalyje.</w:t>
      </w:r>
    </w:p>
    <w:p>
      <w:pPr>
        <w:pStyle w:val="Paprtekstas"/>
        <w:bidi w:val="0"/>
        <w:rPr>
          <w:color w:val="auto"/>
        </w:rPr>
      </w:pPr>
      <w:r>
        <w:rPr>
          <w:color w:val="auto"/>
          <w:lang w:val="lt-LT" w:eastAsia="en-US" w:bidi="ar-SA"/>
        </w:rPr>
        <w:t>Šiukšlės ir kitos atliekos turi būti tvarkomos remiantis Pasirengimo statybai ir statybos darbų organizavimo dalimi.</w:t>
      </w:r>
    </w:p>
    <w:p>
      <w:pPr>
        <w:pStyle w:val="Paprtekstas"/>
        <w:widowControl/>
        <w:suppressAutoHyphens w:val="true"/>
        <w:bidi w:val="0"/>
        <w:spacing w:lineRule="auto" w:line="276"/>
        <w:rPr>
          <w:color w:val="auto"/>
        </w:rPr>
      </w:pPr>
      <w:r>
        <w:rPr>
          <w:rFonts w:eastAsia="Times New Roman" w:cs="Times New Roman"/>
          <w:color w:val="000000"/>
          <w:kern w:val="0"/>
          <w:szCs w:val="24"/>
          <w:shd w:fill="auto" w:val="clear"/>
          <w:lang w:val="lt-LT" w:eastAsia="en-US" w:bidi="ar-SA"/>
        </w:rPr>
        <w:t>Statybos darbų laikotarpiu turi būti užtikrinta tinkama apsauga esamiems išsaugomiems objektams. Elementai prieš pradedant statybos darbus turi būti tinkamai paruošti panaudojant tinkamiausias apsaugos priemones. Statybos darbų laikotarpiu elementai negali nukentėti nuo bet kokio tiesioginio ar netiesioginio poveikio, t. y. elementai turi būti apsaugoti nuo:</w:t>
      </w:r>
    </w:p>
    <w:p>
      <w:pPr>
        <w:pStyle w:val="Paprtekstas"/>
        <w:widowControl/>
        <w:suppressAutoHyphens w:val="true"/>
        <w:bidi w:val="0"/>
        <w:spacing w:lineRule="auto" w:line="276"/>
        <w:rPr>
          <w:color w:val="auto"/>
        </w:rPr>
      </w:pPr>
      <w:r>
        <w:rPr>
          <w:rFonts w:eastAsia="Times New Roman" w:cs="Times New Roman"/>
          <w:color w:val="000000"/>
          <w:kern w:val="0"/>
          <w:szCs w:val="24"/>
          <w:shd w:fill="auto" w:val="clear"/>
          <w:lang w:val="lt-LT" w:eastAsia="en-US" w:bidi="ar-SA"/>
        </w:rPr>
        <w:t>- išorinio kontakto su technika ir įrengimais reikalingais statybai vykdyti;</w:t>
      </w:r>
    </w:p>
    <w:p>
      <w:pPr>
        <w:pStyle w:val="Paprtekstas"/>
        <w:widowControl/>
        <w:suppressAutoHyphens w:val="true"/>
        <w:bidi w:val="0"/>
        <w:spacing w:lineRule="auto" w:line="276"/>
        <w:rPr>
          <w:color w:val="auto"/>
        </w:rPr>
      </w:pPr>
      <w:r>
        <w:rPr>
          <w:rFonts w:eastAsia="Times New Roman" w:cs="Times New Roman"/>
          <w:color w:val="000000"/>
          <w:kern w:val="0"/>
          <w:szCs w:val="24"/>
          <w:shd w:fill="auto" w:val="clear"/>
          <w:lang w:val="lt-LT" w:eastAsia="en-US" w:bidi="ar-SA"/>
        </w:rPr>
        <w:t xml:space="preserve">- statybos produktų patekimo ant išsaugomų objektų (įvairių dulkių, skysčių ar kt. produktų); </w:t>
      </w:r>
    </w:p>
    <w:p>
      <w:pPr>
        <w:pStyle w:val="Paprtekstas"/>
        <w:widowControl/>
        <w:suppressAutoHyphens w:val="true"/>
        <w:bidi w:val="0"/>
        <w:spacing w:lineRule="auto" w:line="276"/>
        <w:rPr>
          <w:color w:val="auto"/>
        </w:rPr>
      </w:pPr>
      <w:r>
        <w:rPr>
          <w:rFonts w:eastAsia="Times New Roman" w:cs="Times New Roman"/>
          <w:color w:val="000000"/>
          <w:kern w:val="0"/>
          <w:szCs w:val="24"/>
          <w:shd w:fill="auto" w:val="clear"/>
          <w:lang w:val="lt-LT" w:eastAsia="en-US" w:bidi="ar-SA"/>
        </w:rPr>
        <w:t>- galimo netiesioginio poveikio objektų pagrindams (pamatams), atliekant žemės darbus greta saugomo elemento.</w:t>
      </w:r>
    </w:p>
    <w:p>
      <w:pPr>
        <w:pStyle w:val="Normal"/>
        <w:numPr>
          <w:ilvl w:val="0"/>
          <w:numId w:val="0"/>
        </w:numPr>
        <w:spacing w:lineRule="auto" w:line="276" w:before="0" w:after="200"/>
        <w:ind w:hanging="0" w:left="360"/>
        <w:jc w:val="both"/>
        <w:rPr>
          <w:color w:val="auto"/>
        </w:rPr>
      </w:pPr>
      <w:r>
        <w:rPr>
          <w:rFonts w:cs="Arial" w:ascii="Arial" w:hAnsi="Arial"/>
          <w:b/>
          <w:bCs/>
          <w:color w:val="000000"/>
          <w:sz w:val="22"/>
          <w:szCs w:val="22"/>
          <w:shd w:fill="auto" w:val="clear"/>
        </w:rPr>
        <w:t>3. SKLYPO PLANO SPRENDINIAI</w:t>
      </w:r>
    </w:p>
    <w:p>
      <w:pPr>
        <w:pStyle w:val="Paprtekstas"/>
        <w:widowControl/>
        <w:suppressAutoHyphens w:val="true"/>
        <w:bidi w:val="0"/>
        <w:spacing w:lineRule="auto" w:line="276"/>
        <w:rPr>
          <w:color w:val="auto"/>
        </w:rPr>
      </w:pPr>
      <w:r>
        <w:rPr>
          <w:rFonts w:eastAsia="Times New Roman" w:cs="Times New Roman"/>
          <w:b/>
          <w:bCs/>
          <w:color w:val="000000"/>
          <w:kern w:val="0"/>
          <w:sz w:val="22"/>
          <w:szCs w:val="22"/>
          <w:shd w:fill="auto" w:val="clear"/>
          <w:lang w:val="lt-LT" w:eastAsia="en-US" w:bidi="ar-SA"/>
        </w:rPr>
        <w:t>3.1 Bendroji dalis</w:t>
      </w:r>
    </w:p>
    <w:p>
      <w:pPr>
        <w:pStyle w:val="Paprtekstas"/>
        <w:widowControl/>
        <w:suppressAutoHyphens w:val="true"/>
        <w:bidi w:val="0"/>
        <w:spacing w:lineRule="auto" w:line="276"/>
        <w:rPr>
          <w:color w:val="auto"/>
        </w:rPr>
      </w:pPr>
      <w:r>
        <w:rPr>
          <w:rFonts w:eastAsia="Times New Roman" w:cs="Times New Roman"/>
          <w:color w:val="000000"/>
          <w:kern w:val="0"/>
          <w:szCs w:val="24"/>
          <w:shd w:fill="auto" w:val="clear"/>
          <w:lang w:val="lt-LT" w:eastAsia="en-US" w:bidi="ar-SA"/>
        </w:rPr>
        <w:t>Būtina laikytis projekte numatytų, bei atitinkamus darbus reglamentuojančių normatyvinių dokumentų reikalavimų, o iškilus nenumatytiems darbams arba išaiškėjus kitoms, projekte neaptartoms aplinkybėms, nedelsiant informuoti apie tai projekto autorius ir užsakovą.</w:t>
      </w:r>
    </w:p>
    <w:p>
      <w:pPr>
        <w:pStyle w:val="Paprtekstas"/>
        <w:widowControl/>
        <w:suppressAutoHyphens w:val="true"/>
        <w:bidi w:val="0"/>
        <w:spacing w:lineRule="auto" w:line="276"/>
        <w:rPr>
          <w:color w:val="auto"/>
        </w:rPr>
      </w:pPr>
      <w:r>
        <w:rPr>
          <w:rFonts w:eastAsia="Times New Roman" w:cs="Times New Roman"/>
          <w:color w:val="000000"/>
          <w:kern w:val="0"/>
          <w:szCs w:val="24"/>
          <w:shd w:fill="auto" w:val="clear"/>
          <w:lang w:val="lt-LT" w:eastAsia="en-US" w:bidi="ar-SA"/>
        </w:rPr>
        <w:t>Statybos darbų vykdymo procese būtina vadovautis statybos techniniais reglamentais:</w:t>
      </w:r>
    </w:p>
    <w:p>
      <w:pPr>
        <w:pStyle w:val="Paprtekstas"/>
        <w:widowControl/>
        <w:suppressAutoHyphens w:val="true"/>
        <w:bidi w:val="0"/>
        <w:spacing w:lineRule="auto" w:line="276"/>
        <w:rPr>
          <w:color w:val="auto"/>
        </w:rPr>
      </w:pPr>
      <w:r>
        <w:rPr>
          <w:rFonts w:eastAsia="Times New Roman" w:cs="Times New Roman"/>
          <w:color w:val="000000"/>
          <w:kern w:val="0"/>
          <w:szCs w:val="24"/>
          <w:shd w:fill="auto" w:val="clear"/>
          <w:lang w:val="lt-LT" w:eastAsia="en-US" w:bidi="ar-SA"/>
        </w:rPr>
        <w:t>STR 1.06.01:2016 „Statybos darbai. Statinio statybos priežiūra“;</w:t>
      </w:r>
    </w:p>
    <w:p>
      <w:pPr>
        <w:pStyle w:val="Paprtekstas"/>
        <w:widowControl/>
        <w:suppressAutoHyphens w:val="true"/>
        <w:bidi w:val="0"/>
        <w:spacing w:lineRule="auto" w:line="276"/>
        <w:rPr>
          <w:color w:val="auto"/>
        </w:rPr>
      </w:pPr>
      <w:r>
        <w:rPr>
          <w:rFonts w:eastAsia="Times New Roman" w:cs="Times New Roman"/>
          <w:color w:val="000000"/>
          <w:kern w:val="0"/>
          <w:szCs w:val="24"/>
          <w:shd w:fill="auto" w:val="clear"/>
          <w:lang w:val="lt-LT" w:eastAsia="en-US" w:bidi="ar-SA"/>
        </w:rPr>
        <w:t>STR 1.04.04:2017 „Statinio projektavimas, projekto ekspertizė“;</w:t>
      </w:r>
    </w:p>
    <w:p>
      <w:pPr>
        <w:pStyle w:val="Paprtekstas"/>
        <w:widowControl/>
        <w:suppressAutoHyphens w:val="true"/>
        <w:bidi w:val="0"/>
        <w:spacing w:lineRule="auto" w:line="276"/>
        <w:rPr>
          <w:color w:val="auto"/>
        </w:rPr>
      </w:pPr>
      <w:r>
        <w:rPr>
          <w:rFonts w:eastAsia="Times New Roman" w:cs="Times New Roman"/>
          <w:b/>
          <w:bCs/>
          <w:color w:val="000000"/>
          <w:kern w:val="0"/>
          <w:szCs w:val="24"/>
          <w:shd w:fill="auto" w:val="clear"/>
          <w:lang w:val="lt-LT" w:eastAsia="en-US" w:bidi="ar-SA"/>
        </w:rPr>
        <w:t>PASTABA: Pasikeitus normatyviniams dokumentams, vadovautis galiojančiais normatyviniais dokumentais.</w:t>
      </w:r>
    </w:p>
    <w:p>
      <w:pPr>
        <w:pStyle w:val="Paprtekstas"/>
        <w:widowControl/>
        <w:suppressAutoHyphens w:val="true"/>
        <w:bidi w:val="0"/>
        <w:spacing w:lineRule="auto" w:line="276"/>
        <w:rPr>
          <w:color w:val="auto"/>
        </w:rPr>
      </w:pPr>
      <w:r>
        <w:rPr>
          <w:rFonts w:eastAsia="Times New Roman" w:cs="Times New Roman"/>
          <w:color w:val="000000"/>
          <w:kern w:val="0"/>
          <w:szCs w:val="24"/>
          <w:shd w:fill="auto" w:val="clear"/>
          <w:lang w:val="lt-LT" w:eastAsia="en-US" w:bidi="ar-SA"/>
        </w:rPr>
        <w:t>Nurodant, kurioms medžiagoms, gaminiams privalomas LR sertifikatas, o kuriems atitikties deklaracija arba gaminio pasas, vadovaujamasi aplinkos ministro 2015 01 28 Nr. D1-80 „Reglamentuojamų statybos produktų sąrašu“. Medžiagos ir gaminiai privalo tenkinti šių standartų reikalavimus ir turėti ten nurodytus arba geresnius techninius ir kokybės rodiklius. Esminiai techniniai statybos produktų rodikliai yra nurodomi aprašant atskirus darbus.</w:t>
      </w:r>
    </w:p>
    <w:p>
      <w:pPr>
        <w:pStyle w:val="Paprtekstas"/>
        <w:widowControl/>
        <w:suppressAutoHyphens w:val="true"/>
        <w:bidi w:val="0"/>
        <w:spacing w:lineRule="auto" w:line="276"/>
        <w:rPr>
          <w:color w:val="auto"/>
        </w:rPr>
      </w:pPr>
      <w:r>
        <w:rPr>
          <w:rFonts w:eastAsia="Times New Roman" w:cs="Times New Roman"/>
          <w:b/>
          <w:bCs/>
          <w:color w:val="000000"/>
          <w:kern w:val="0"/>
          <w:sz w:val="22"/>
          <w:szCs w:val="22"/>
          <w:shd w:fill="auto" w:val="clear"/>
          <w:lang w:val="lt-LT" w:eastAsia="en-US" w:bidi="ar-SA"/>
        </w:rPr>
        <w:t>3.2. Vietos paruošimas ir žemės darbai</w:t>
      </w:r>
    </w:p>
    <w:p>
      <w:pPr>
        <w:pStyle w:val="Paprtekstas"/>
        <w:widowControl/>
        <w:suppressAutoHyphens w:val="true"/>
        <w:bidi w:val="0"/>
        <w:spacing w:lineRule="auto" w:line="276"/>
        <w:rPr>
          <w:color w:val="auto"/>
        </w:rPr>
      </w:pPr>
      <w:r>
        <w:rPr>
          <w:rFonts w:eastAsia="Times New Roman" w:cs="Times New Roman"/>
          <w:color w:val="000000"/>
          <w:kern w:val="0"/>
          <w:szCs w:val="24"/>
          <w:shd w:fill="auto" w:val="clear"/>
          <w:lang w:val="lt-LT" w:eastAsia="en-US" w:bidi="ar-SA"/>
        </w:rPr>
        <w:t>Žemės darbai vykdomi laikantis galiojančių normatyvinių dokumentų reikalavimais. Darbų eiliškumas privalo būti vykdomas pagal „Pasirengimo statybai ir statybos darbų organizavimo“ dalį.</w:t>
      </w:r>
    </w:p>
    <w:p>
      <w:pPr>
        <w:pStyle w:val="Paprtekstas"/>
        <w:widowControl/>
        <w:suppressAutoHyphens w:val="true"/>
        <w:bidi w:val="0"/>
        <w:spacing w:lineRule="auto" w:line="276"/>
        <w:rPr>
          <w:color w:val="auto"/>
        </w:rPr>
      </w:pPr>
      <w:r>
        <w:rPr>
          <w:rFonts w:eastAsia="Times New Roman" w:cs="Times New Roman"/>
          <w:color w:val="000000"/>
          <w:kern w:val="0"/>
          <w:szCs w:val="24"/>
          <w:shd w:fill="auto" w:val="clear"/>
          <w:lang w:val="lt-LT" w:eastAsia="en-US" w:bidi="ar-SA"/>
        </w:rPr>
        <w:t>Prieš pradedant dangų ir žaliųjų plotų įrengimo darbus, ypatingas dėmesys skiriamas saugotiniems medžiams. Medžiai turi būti saugomi ir prižiūrimi statybos metu pagal toliau pateikiamas rekomendacijas.</w:t>
      </w:r>
    </w:p>
    <w:p>
      <w:pPr>
        <w:pStyle w:val="Paprtekstas"/>
        <w:widowControl/>
        <w:suppressAutoHyphens w:val="true"/>
        <w:bidi w:val="0"/>
        <w:spacing w:lineRule="auto" w:line="276"/>
        <w:rPr>
          <w:color w:val="auto"/>
        </w:rPr>
      </w:pPr>
      <w:r>
        <w:rPr>
          <w:rFonts w:eastAsia="Times New Roman" w:cs="Times New Roman"/>
          <w:color w:val="000000"/>
          <w:kern w:val="0"/>
          <w:szCs w:val="24"/>
          <w:shd w:fill="auto" w:val="clear"/>
          <w:lang w:val="lt-LT" w:eastAsia="en-US" w:bidi="ar-SA"/>
        </w:rPr>
        <w:t>Užpylimui reikalingas iškastinis gruntas sandėliuojamas vietoje perstumiant reikiamu atstumu, užtikrinančiu saugų darbo atlikimą. Darbininkų judėjimui iškasoje nuo konstrukcijos turi būti paliktas 0,6 m tarpas.</w:t>
      </w:r>
    </w:p>
    <w:p>
      <w:pPr>
        <w:pStyle w:val="Paprtekstas"/>
        <w:widowControl/>
        <w:suppressAutoHyphens w:val="true"/>
        <w:bidi w:val="0"/>
        <w:spacing w:lineRule="auto" w:line="276"/>
        <w:rPr>
          <w:color w:val="auto"/>
        </w:rPr>
      </w:pPr>
      <w:r>
        <w:rPr>
          <w:rFonts w:eastAsia="Times New Roman" w:cs="Times New Roman"/>
          <w:color w:val="000000"/>
          <w:kern w:val="0"/>
          <w:szCs w:val="24"/>
          <w:shd w:fill="auto" w:val="clear"/>
          <w:lang w:val="lt-LT" w:eastAsia="en-US" w:bidi="ar-SA"/>
        </w:rPr>
        <w:t>Pertraukų tarp duobių iškasimo (tinklų tiesimui) ir pagrindo įrengimo neturi būti. Įvykus nenumatytai pertraukai, reikia imtis papildomų techninių priemonių saugumo užtikrinimui ir pagrindo išsaugojimui. Atsitiktiniai grunto perkasimai duobių pagrinde užpilami smėliniu gruntu. Gruntas sutankinamas. Pažeidus pagrindus, visi pagrindų atstatymo metodai turi būti suderinti su techninės priežiūros vykdytoju. Pagrindai turi būti priimti techninės priežiūros inžinieriaus. Abejojant dėl kokybės, paėmus pavyzdžius, daromi laboratoriniai tyrimai.</w:t>
      </w:r>
    </w:p>
    <w:p>
      <w:pPr>
        <w:pStyle w:val="Paprtekstas"/>
        <w:widowControl/>
        <w:suppressAutoHyphens w:val="true"/>
        <w:bidi w:val="0"/>
        <w:spacing w:lineRule="auto" w:line="276"/>
        <w:rPr>
          <w:color w:val="auto"/>
        </w:rPr>
      </w:pPr>
      <w:r>
        <w:rPr>
          <w:rFonts w:eastAsia="Times New Roman" w:cs="Times New Roman"/>
          <w:color w:val="000000"/>
          <w:kern w:val="0"/>
          <w:szCs w:val="24"/>
          <w:shd w:fill="auto" w:val="clear"/>
          <w:lang w:val="lt-LT" w:eastAsia="en-US" w:bidi="ar-SA"/>
        </w:rPr>
        <w:t>Pagrindų įrengimo darbų kokybė turi būti sistemingai kontroliuojama, kontrolės rezultatai fiksuojami atitinkamuose dokumentuose, kurie pateikiami techninės priežiūros inžinieriui darbų priėmimo metu.</w:t>
      </w:r>
    </w:p>
    <w:p>
      <w:pPr>
        <w:pStyle w:val="Paprtekstas"/>
        <w:widowControl/>
        <w:suppressAutoHyphens w:val="true"/>
        <w:bidi w:val="0"/>
        <w:spacing w:lineRule="auto" w:line="276"/>
        <w:rPr>
          <w:color w:val="auto"/>
        </w:rPr>
      </w:pPr>
      <w:r>
        <w:rPr>
          <w:rFonts w:eastAsia="Times New Roman" w:cs="Times New Roman"/>
          <w:color w:val="000000"/>
          <w:kern w:val="0"/>
          <w:szCs w:val="24"/>
          <w:shd w:fill="auto" w:val="clear"/>
          <w:lang w:val="lt-LT" w:eastAsia="en-US" w:bidi="ar-SA"/>
        </w:rPr>
        <w:t>Kiekvienas pagrindo sluoksnis tankinamas elektriniais ar kitokiais plūktuvais pagal technologiją. Užpilamame grunte neturi būti medienos atliekų, pluoštinių medžiagų, statybinių atliekų. Bendroje masėje neturi būti sušalusio grunto gabalų. Neigiamoje temperatūroje užpilamas gruntas turi būti išsaugotas nesušalęs iki tankinimo pabaigos.</w:t>
      </w:r>
    </w:p>
    <w:p>
      <w:pPr>
        <w:pStyle w:val="Paprtekstas"/>
        <w:widowControl/>
        <w:suppressAutoHyphens w:val="true"/>
        <w:bidi w:val="0"/>
        <w:spacing w:lineRule="auto" w:line="276"/>
        <w:rPr>
          <w:color w:val="auto"/>
        </w:rPr>
      </w:pPr>
      <w:r>
        <w:rPr>
          <w:rFonts w:eastAsia="Times New Roman" w:cs="Times New Roman"/>
          <w:i/>
          <w:iCs/>
          <w:color w:val="000000"/>
          <w:kern w:val="0"/>
          <w:szCs w:val="24"/>
          <w:u w:val="single"/>
          <w:shd w:fill="auto" w:val="clear"/>
          <w:lang w:val="lt-LT" w:eastAsia="en-US" w:bidi="ar-SA"/>
        </w:rPr>
        <w:t>Šlaito formavimas</w:t>
      </w:r>
    </w:p>
    <w:p>
      <w:pPr>
        <w:pStyle w:val="Paprtekstas"/>
        <w:widowControl/>
        <w:suppressAutoHyphens w:val="true"/>
        <w:bidi w:val="0"/>
        <w:spacing w:lineRule="auto" w:line="276"/>
        <w:rPr>
          <w:color w:val="auto"/>
        </w:rPr>
      </w:pPr>
      <w:r>
        <w:rPr>
          <w:rFonts w:eastAsia="Times New Roman" w:cs="Times New Roman"/>
          <w:i w:val="false"/>
          <w:iCs w:val="false"/>
          <w:color w:val="000000"/>
          <w:kern w:val="0"/>
          <w:szCs w:val="24"/>
          <w:u w:val="none"/>
          <w:shd w:fill="auto" w:val="clear"/>
          <w:lang w:val="lt-LT" w:eastAsia="en-US" w:bidi="ar-SA"/>
        </w:rPr>
        <w:t xml:space="preserve">Nuolydis turi būti subalansuotas ir patikimas, rekomenduojama jį sudaryti ne didesnį nei 30–45° (priklausomai nuo dirvožemio tipo ir paskirties). </w:t>
      </w:r>
      <w:r>
        <w:rPr>
          <w:rFonts w:eastAsia="Times New Roman" w:cs="Times New Roman"/>
          <w:color w:val="000000"/>
          <w:kern w:val="0"/>
          <w:szCs w:val="24"/>
          <w:shd w:fill="auto" w:val="clear"/>
          <w:lang w:val="lt-LT" w:eastAsia="en-US" w:bidi="ar-SA"/>
        </w:rPr>
        <w:t xml:space="preserve">Po žemės kasimo būtina atlikti paviršiaus lyginimą, kad pašalintumėte netolygumus, griovelius ir padėtumėte pagrindui gerai susidaryti. Tai svarbu norint užtikrinti šlaito stabilumą. </w:t>
      </w:r>
    </w:p>
    <w:p>
      <w:pPr>
        <w:pStyle w:val="Paprtekstas"/>
        <w:widowControl/>
        <w:suppressAutoHyphens w:val="true"/>
        <w:bidi w:val="0"/>
        <w:spacing w:lineRule="auto" w:line="276"/>
        <w:rPr>
          <w:color w:val="auto"/>
        </w:rPr>
      </w:pPr>
      <w:r>
        <w:rPr>
          <w:rFonts w:eastAsia="Times New Roman" w:cs="Times New Roman"/>
          <w:i/>
          <w:iCs/>
          <w:color w:val="000000"/>
          <w:kern w:val="0"/>
          <w:szCs w:val="24"/>
          <w:u w:val="single"/>
          <w:shd w:fill="auto" w:val="clear"/>
          <w:lang w:val="lt-LT" w:eastAsia="en-US" w:bidi="ar-SA"/>
        </w:rPr>
        <w:t>Ruloninės vejos įrengimas</w:t>
      </w:r>
    </w:p>
    <w:p>
      <w:pPr>
        <w:pStyle w:val="Paprtekstas"/>
        <w:widowControl/>
        <w:suppressAutoHyphens w:val="true"/>
        <w:bidi w:val="0"/>
        <w:spacing w:lineRule="auto" w:line="276"/>
        <w:rPr/>
      </w:pPr>
      <w:r>
        <w:rPr>
          <w:rStyle w:val="Strong"/>
          <w:rFonts w:eastAsia="Times New Roman" w:cs="Times New Roman"/>
          <w:b w:val="false"/>
          <w:bCs w:val="false"/>
          <w:i w:val="false"/>
          <w:iCs w:val="false"/>
          <w:color w:val="000000"/>
          <w:kern w:val="0"/>
          <w:szCs w:val="24"/>
          <w:u w:val="none"/>
          <w:shd w:fill="auto" w:val="clear"/>
          <w:lang w:val="lt-LT" w:eastAsia="en-US" w:bidi="ar-SA"/>
        </w:rPr>
        <w:t>Sklypo paruošimas:</w:t>
      </w:r>
      <w:r>
        <w:rPr>
          <w:rFonts w:eastAsia="Times New Roman" w:cs="Times New Roman"/>
          <w:b w:val="false"/>
          <w:bCs w:val="false"/>
          <w:i w:val="false"/>
          <w:iCs w:val="false"/>
          <w:color w:val="000000"/>
          <w:kern w:val="0"/>
          <w:szCs w:val="24"/>
          <w:u w:val="none"/>
          <w:shd w:fill="auto" w:val="clear"/>
          <w:lang w:val="lt-LT" w:eastAsia="en-US" w:bidi="ar-SA"/>
        </w:rPr>
        <w:t xml:space="preserve"> </w:t>
      </w:r>
      <w:r>
        <w:rPr>
          <w:rFonts w:eastAsia="Times New Roman" w:cs="Times New Roman"/>
          <w:i w:val="false"/>
          <w:iCs w:val="false"/>
          <w:color w:val="000000"/>
          <w:kern w:val="0"/>
          <w:szCs w:val="24"/>
          <w:u w:val="none"/>
          <w:shd w:fill="auto" w:val="clear"/>
          <w:lang w:val="lt-LT" w:eastAsia="en-US" w:bidi="ar-SA"/>
        </w:rPr>
        <w:t>Pirmiausia pašalinkite seną veją, piktžoles, akmenis ir kitus nešvarumus. Dirvožemį reikia gerai sukasti iki 10–15 cm gylio, kad būtų užtikrinta geresnė oro cirkuliacija ir vandens pralaidumas. Dirvožemis turi būti derlingas, pH 5,5–6,5. Būtina užtikrinti, kad po žolės įrengimo vieta būtų tinkamai laistoma.</w:t>
      </w:r>
    </w:p>
    <w:p>
      <w:pPr>
        <w:pStyle w:val="Paprtekstas"/>
        <w:widowControl/>
        <w:suppressAutoHyphens w:val="true"/>
        <w:bidi w:val="0"/>
        <w:spacing w:lineRule="auto" w:line="276"/>
        <w:rPr>
          <w:color w:val="auto"/>
        </w:rPr>
      </w:pPr>
      <w:r>
        <w:rPr>
          <w:rFonts w:eastAsia="Times New Roman" w:cs="Times New Roman"/>
          <w:i w:val="false"/>
          <w:iCs w:val="false"/>
          <w:color w:val="000000"/>
          <w:kern w:val="0"/>
          <w:szCs w:val="24"/>
          <w:u w:val="none"/>
          <w:shd w:fill="auto" w:val="clear"/>
          <w:lang w:val="lt-LT" w:eastAsia="en-US" w:bidi="ar-SA"/>
        </w:rPr>
        <w:t xml:space="preserve"> </w:t>
      </w:r>
      <w:r>
        <w:rPr>
          <w:rFonts w:eastAsia="Times New Roman" w:cs="Times New Roman"/>
          <w:i w:val="false"/>
          <w:iCs w:val="false"/>
          <w:color w:val="000000"/>
          <w:kern w:val="0"/>
          <w:szCs w:val="24"/>
          <w:u w:val="none"/>
          <w:shd w:fill="auto" w:val="clear"/>
          <w:lang w:val="lt-LT" w:eastAsia="en-US" w:bidi="ar-SA"/>
        </w:rPr>
        <w:t xml:space="preserve">Ruloninė veja turi būti pagaminta iš gerai prižiūrimos ir subrendusi žolės, atsparios įvairioms klimatinėms sąlygoms. Rulonai turi būti transportuojami į objekto vietą laikantis atitinkamų temperatūros ir drėgmės sąlygų. Jie neturi būti paliekami tiesioginiuose saulės spinduliuose ilgą laiką, kad nepatirtų žalos. Vejoje turi būti subalansuota žolių rūšių sudėtis, be piktžolių ir kitų nepageidaujamų augalų. </w:t>
      </w:r>
    </w:p>
    <w:p>
      <w:pPr>
        <w:pStyle w:val="Paprtekstas"/>
        <w:widowControl/>
        <w:suppressAutoHyphens w:val="true"/>
        <w:bidi w:val="0"/>
        <w:spacing w:lineRule="auto" w:line="276"/>
        <w:rPr>
          <w:color w:val="auto"/>
        </w:rPr>
      </w:pPr>
      <w:r>
        <w:rPr>
          <w:rFonts w:eastAsia="Times New Roman" w:cs="Times New Roman"/>
          <w:i w:val="false"/>
          <w:iCs w:val="false"/>
          <w:color w:val="000000"/>
          <w:kern w:val="0"/>
          <w:szCs w:val="24"/>
          <w:u w:val="none"/>
          <w:shd w:fill="auto" w:val="clear"/>
          <w:lang w:val="lt-LT" w:eastAsia="en-US" w:bidi="ar-SA"/>
        </w:rPr>
        <w:t xml:space="preserve">Rulonų kraštai turi gerai susijungti, bet neperšokti vienas ant kito. Tarpai tarp rulonų turi būti kuo mažesni (0,5–1 cm). Tai užtikrins gerą žolės augimą. Kiekvienas rulonas turi būti šiek tiek įtemptas, kad būtų užtikrinta lygi paviršiaus struktūra, tačiau ne per stipriai, kad nesuspausti žemės ir nepažeisti šaknų. eigu klojimo metu buvo susidariusios įtrūkimų ar pažeidimų, juos reikėtų užtaisyti smėlio arba derlingo dirvožemio mišiniu. </w:t>
      </w:r>
    </w:p>
    <w:p>
      <w:pPr>
        <w:pStyle w:val="Paprtekstas"/>
        <w:widowControl/>
        <w:suppressAutoHyphens w:val="true"/>
        <w:bidi w:val="0"/>
        <w:spacing w:lineRule="auto" w:line="276"/>
        <w:rPr>
          <w:color w:val="auto"/>
        </w:rPr>
      </w:pPr>
      <w:r>
        <w:rPr>
          <w:rFonts w:eastAsia="Times New Roman" w:cs="Times New Roman"/>
          <w:i w:val="false"/>
          <w:iCs w:val="false"/>
          <w:color w:val="000000"/>
          <w:kern w:val="0"/>
          <w:szCs w:val="24"/>
          <w:u w:val="none"/>
          <w:shd w:fill="auto" w:val="clear"/>
          <w:lang w:val="lt-LT" w:eastAsia="en-US" w:bidi="ar-SA"/>
        </w:rPr>
        <w:t xml:space="preserve">Po klojimo būtina intensyviai laistyti veją, kad dirvožemis būtų gerai drėgnas ir šaknys galėtų gerai įsitvirtinti. Pirmosiomis savaitėmis laistykite reguliariai, vengdami vandens stovėjimo ir drėgmės perteklių.  </w:t>
      </w:r>
    </w:p>
    <w:p>
      <w:pPr>
        <w:pStyle w:val="Paprtekstas"/>
        <w:widowControl/>
        <w:suppressAutoHyphens w:val="true"/>
        <w:bidi w:val="0"/>
        <w:spacing w:lineRule="auto" w:line="276"/>
        <w:rPr>
          <w:rFonts w:eastAsia="Times New Roman" w:cs="Times New Roman"/>
          <w:i w:val="false"/>
          <w:i w:val="false"/>
          <w:iCs w:val="false"/>
          <w:color w:val="auto"/>
          <w:kern w:val="0"/>
          <w:szCs w:val="24"/>
          <w:u w:val="none"/>
          <w:shd w:fill="auto" w:val="clear"/>
          <w:lang w:val="lt-LT" w:eastAsia="en-US" w:bidi="ar-SA"/>
        </w:rPr>
      </w:pPr>
      <w:r>
        <w:rPr>
          <w:rFonts w:eastAsia="Times New Roman" w:cs="Times New Roman"/>
          <w:i w:val="false"/>
          <w:iCs w:val="false"/>
          <w:color w:val="auto"/>
          <w:kern w:val="0"/>
          <w:szCs w:val="24"/>
          <w:u w:val="none"/>
          <w:shd w:fill="auto" w:val="clear"/>
          <w:lang w:val="lt-LT" w:eastAsia="en-US" w:bidi="ar-SA"/>
        </w:rPr>
      </w:r>
    </w:p>
    <w:p>
      <w:pPr>
        <w:pStyle w:val="Paprtekstas"/>
        <w:widowControl/>
        <w:suppressAutoHyphens w:val="true"/>
        <w:bidi w:val="0"/>
        <w:spacing w:lineRule="auto" w:line="276"/>
        <w:rPr>
          <w:color w:val="auto"/>
        </w:rPr>
      </w:pPr>
      <w:r>
        <w:rPr>
          <w:rFonts w:eastAsia="Times New Roman" w:cs="Times New Roman"/>
          <w:i/>
          <w:iCs/>
          <w:color w:val="000000"/>
          <w:kern w:val="0"/>
          <w:szCs w:val="24"/>
          <w:u w:val="single"/>
          <w:shd w:fill="auto" w:val="clear"/>
          <w:lang w:val="lt-LT" w:eastAsia="en-US" w:bidi="ar-SA"/>
        </w:rPr>
        <w:t>Priešerozinis paklotas</w:t>
      </w:r>
    </w:p>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t>Šlaito nuolydis turi būti subalansuotas ir patikimas, rekomenduojama jį sudaryti ne didesnį nei 30–45° .</w:t>
      </w:r>
    </w:p>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t>Sintetinis priešerozinis paklotas skirtas eksploatuojamų šlaitų (kelių sankasų, griovių, tvenkinių ir pan.) apsaugai nuo erozijos ir dirvožemio išplovimo, kai šlaitas prižiūrimas, juo vaikšto žmonės ir važiuoja žolės pjovimo ar kita lengvoji technika. Paklotas turi būti trimačio (3D) geomato tipo, pagamintas iš UV stabilizuoto polipropileno ar lygiaverčio polimero, sudarytas iš termiškai sujungtų monofilamentinių gijų, su atvira, didelio porėtumo (≥ 85 %) žalia struktūra, leidžiančia užpildyti ertmes dirvožemiu ir susiformuoti augmenijai. Eksploatuojamam šlaitui parenkamas storesnis paklotas, kurio storis ne mažesnis kaip 18–20 mm, masė ploto vienete – ne mažesnė kaip 380 g/m², tempimo stipris išilgai ir skersai – ne mažesnis kaip 3,0 kN/m, o ilgėjimas prie didžiausios apkrovos – ne didesnis kaip apie 100–110 %. Medžiaga turi būti atspari UV ir atmosferos poveikiui, išlaikant ne mažiau kaip 80 % pradinio tempimo stiprio, taip pat chemiškai ir biologiškai atspari įprastoms dirvožemio ir kelių eksploatacijos sąlygoms bei neskleisti kenksmingų medžiagų į aplinką.</w:t>
      </w:r>
    </w:p>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t>Paklotas tiekiamas rulonais (paprastai ≥ 2,0 m pločio ir ≥ 30 m ilgio), susuktas ant tvirto vamzdžio ir apsaugotas transportavimui bei sandėliavimui. Jis klojamas ant suformuoto ir sutankinto šlaito nuo apačios į viršų, su 10–20 cm persidengimu, tvirtinant prie grunto metaliniais ar biologiškai skaidžiais kuolais kas 0,5–1,0 m, tankiau – šlaito viršuje ir laužtose vietose. Ant pakloto paskleidžiamas 5–10 cm derlingo grunto sluoksnis, įsėjamos žolės sėklos ar kiti projektiniai augalai ir užtikrinamas augmenijos prigijimas. Susiformavus žolinei dangai, paklotas kartu su dirvožemiu ir augalija sudaro armuotą, erozijai atsparų paviršių, tinkamą šlaito priežiūrai ir eksploatavimui. Gamintojas privalo pateikti techninį duomenų lapą ar eksploatacinių savybių deklaraciją su pagrindiniais fiziniais, mechaniniais ir ilgaamžiškumo parametrais bei nurodytais bandymo metodais.</w:t>
      </w:r>
    </w:p>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t>Priešeroziniai paklotai yra skirti iki 50 laipsnių, šlaitų paviršinei erozijai stabdyti. Pakloto darbo esmė – sudygusios augalijos šaknys neleidžia paviršiniam grunto sluoksniui nuslysti žemyn, net esant vėjo, kritulių ir eksploatacijos poveikiams. Gavus priešerozinius paklotus reikia patikrinti ar jie yra reikiamos markės pagal projekto nurodymus.</w:t>
      </w:r>
    </w:p>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t>Priešerozinio pakloto šlaitų tvirtinimui techninės specifikacijos turi atitikti žemiau nurodytas savybes arba būti analogiškos joms:</w:t>
      </w:r>
    </w:p>
    <w:tbl>
      <w:tblPr>
        <w:tblW w:w="5000" w:type="pct"/>
        <w:jc w:val="left"/>
        <w:tblInd w:w="108" w:type="dxa"/>
        <w:tblLayout w:type="fixed"/>
        <w:tblCellMar>
          <w:top w:w="28" w:type="dxa"/>
          <w:left w:w="108" w:type="dxa"/>
          <w:bottom w:w="28" w:type="dxa"/>
          <w:right w:w="108" w:type="dxa"/>
        </w:tblCellMar>
      </w:tblPr>
      <w:tblGrid>
        <w:gridCol w:w="4268"/>
        <w:gridCol w:w="2083"/>
        <w:gridCol w:w="3854"/>
      </w:tblGrid>
      <w:tr>
        <w:trPr/>
        <w:tc>
          <w:tcPr>
            <w:tcW w:w="4268" w:type="dxa"/>
            <w:tcBorders>
              <w:top w:val="single" w:sz="8" w:space="0" w:color="000000"/>
              <w:left w:val="single" w:sz="8" w:space="0" w:color="000000"/>
              <w:bottom w:val="single" w:sz="8" w:space="0" w:color="000000"/>
              <w:right w:val="single" w:sz="8" w:space="0" w:color="000000"/>
            </w:tcBorders>
            <w:vAlign w:val="center"/>
          </w:tcPr>
          <w:p>
            <w:pPr>
              <w:pStyle w:val="Lentelsturinysuser"/>
              <w:spacing w:before="0" w:after="0"/>
              <w:ind w:hanging="0" w:left="0" w:right="0"/>
              <w:rPr>
                <w:rFonts w:ascii="Arial" w:hAnsi="Arial"/>
                <w:b/>
                <w:sz w:val="16"/>
                <w:szCs w:val="16"/>
              </w:rPr>
            </w:pPr>
            <w:r>
              <w:rPr>
                <w:rFonts w:ascii="Arial" w:hAnsi="Arial"/>
                <w:b/>
                <w:sz w:val="16"/>
                <w:szCs w:val="16"/>
              </w:rPr>
              <w:t>Svarbiausios savybės</w:t>
            </w:r>
          </w:p>
        </w:tc>
        <w:tc>
          <w:tcPr>
            <w:tcW w:w="2083" w:type="dxa"/>
            <w:tcBorders>
              <w:top w:val="single" w:sz="8" w:space="0" w:color="000000"/>
              <w:bottom w:val="single" w:sz="8" w:space="0" w:color="000000"/>
              <w:right w:val="single" w:sz="8" w:space="0" w:color="000000"/>
            </w:tcBorders>
            <w:tcMar>
              <w:left w:w="0" w:type="dxa"/>
            </w:tcMar>
            <w:vAlign w:val="center"/>
          </w:tcPr>
          <w:p>
            <w:pPr>
              <w:pStyle w:val="Lentelsturinysuser"/>
              <w:spacing w:before="0" w:after="0"/>
              <w:ind w:hanging="0" w:left="0" w:right="0"/>
              <w:rPr>
                <w:rFonts w:ascii="Arial" w:hAnsi="Arial"/>
                <w:b/>
                <w:sz w:val="16"/>
                <w:szCs w:val="16"/>
              </w:rPr>
            </w:pPr>
            <w:r>
              <w:rPr>
                <w:rFonts w:ascii="Arial" w:hAnsi="Arial"/>
                <w:b/>
                <w:sz w:val="16"/>
                <w:szCs w:val="16"/>
              </w:rPr>
              <w:t>Bandymo metodas</w:t>
            </w:r>
          </w:p>
        </w:tc>
        <w:tc>
          <w:tcPr>
            <w:tcW w:w="3854" w:type="dxa"/>
            <w:tcBorders>
              <w:top w:val="single" w:sz="8" w:space="0" w:color="000000"/>
              <w:bottom w:val="single" w:sz="8" w:space="0" w:color="000000"/>
              <w:right w:val="single" w:sz="8" w:space="0" w:color="000000"/>
            </w:tcBorders>
            <w:tcMar>
              <w:left w:w="0" w:type="dxa"/>
            </w:tcMar>
            <w:vAlign w:val="center"/>
          </w:tcPr>
          <w:p>
            <w:pPr>
              <w:pStyle w:val="Lentelsturinysuser"/>
              <w:spacing w:before="0" w:after="0"/>
              <w:ind w:hanging="0" w:left="0" w:right="0"/>
              <w:rPr>
                <w:rFonts w:ascii="Arial" w:hAnsi="Arial"/>
                <w:b/>
                <w:sz w:val="16"/>
                <w:szCs w:val="16"/>
              </w:rPr>
            </w:pPr>
            <w:r>
              <w:rPr>
                <w:rFonts w:ascii="Arial" w:hAnsi="Arial"/>
                <w:b/>
                <w:sz w:val="16"/>
                <w:szCs w:val="16"/>
              </w:rPr>
              <w:t>Vertės (min./maks. įvertinus paklaidas)</w:t>
            </w:r>
          </w:p>
        </w:tc>
      </w:tr>
      <w:tr>
        <w:trPr/>
        <w:tc>
          <w:tcPr>
            <w:tcW w:w="4268" w:type="dxa"/>
            <w:tcBorders>
              <w:bottom w:val="single" w:sz="8" w:space="0" w:color="000000"/>
              <w:right w:val="single" w:sz="8" w:space="0" w:color="000000"/>
            </w:tcBorders>
            <w:tcMar>
              <w:top w:w="0" w:type="dxa"/>
              <w:left w:w="0" w:type="dxa"/>
            </w:tcMar>
            <w:vAlign w:val="center"/>
          </w:tcPr>
          <w:p>
            <w:pPr>
              <w:pStyle w:val="Lentelsturinysuser"/>
              <w:spacing w:before="0" w:after="0"/>
              <w:ind w:hanging="0" w:left="0" w:right="0"/>
              <w:rPr>
                <w:rFonts w:ascii="Arial" w:hAnsi="Arial"/>
                <w:sz w:val="16"/>
                <w:szCs w:val="16"/>
              </w:rPr>
            </w:pPr>
            <w:r>
              <w:rPr>
                <w:rFonts w:ascii="Arial" w:hAnsi="Arial"/>
                <w:sz w:val="16"/>
                <w:szCs w:val="16"/>
              </w:rPr>
              <w:t>Gaminio tipas</w:t>
            </w:r>
          </w:p>
        </w:tc>
        <w:tc>
          <w:tcPr>
            <w:tcW w:w="2083" w:type="dxa"/>
            <w:tcBorders>
              <w:bottom w:val="single" w:sz="8" w:space="0" w:color="000000"/>
              <w:right w:val="single" w:sz="8" w:space="0" w:color="000000"/>
            </w:tcBorders>
            <w:tcMar>
              <w:top w:w="0" w:type="dxa"/>
              <w:left w:w="0" w:type="dxa"/>
            </w:tcMar>
            <w:vAlign w:val="center"/>
          </w:tcPr>
          <w:p>
            <w:pPr>
              <w:pStyle w:val="Lentelsturinysuser"/>
              <w:spacing w:before="0" w:after="0"/>
              <w:ind w:hanging="0" w:left="0" w:right="0"/>
              <w:rPr>
                <w:rFonts w:ascii="Arial" w:hAnsi="Arial"/>
                <w:b/>
                <w:sz w:val="16"/>
                <w:szCs w:val="16"/>
              </w:rPr>
            </w:pPr>
            <w:r>
              <w:rPr>
                <w:rFonts w:ascii="Arial" w:hAnsi="Arial"/>
                <w:b/>
                <w:sz w:val="16"/>
                <w:szCs w:val="16"/>
              </w:rPr>
              <w:t>-</w:t>
            </w:r>
          </w:p>
        </w:tc>
        <w:tc>
          <w:tcPr>
            <w:tcW w:w="3854" w:type="dxa"/>
            <w:tcBorders>
              <w:bottom w:val="single" w:sz="8" w:space="0" w:color="000000"/>
              <w:right w:val="single" w:sz="8" w:space="0" w:color="000000"/>
            </w:tcBorders>
            <w:tcMar>
              <w:top w:w="0" w:type="dxa"/>
              <w:left w:w="0" w:type="dxa"/>
            </w:tcMar>
            <w:vAlign w:val="center"/>
          </w:tcPr>
          <w:p>
            <w:pPr>
              <w:pStyle w:val="Lentelsturinysuser"/>
              <w:spacing w:before="0" w:after="0"/>
              <w:ind w:hanging="0" w:left="0" w:right="0"/>
              <w:rPr>
                <w:rFonts w:ascii="Arial" w:hAnsi="Arial"/>
                <w:sz w:val="16"/>
                <w:szCs w:val="16"/>
              </w:rPr>
            </w:pPr>
            <w:r>
              <w:rPr>
                <w:rFonts w:ascii="Arial" w:hAnsi="Arial"/>
                <w:sz w:val="16"/>
                <w:szCs w:val="16"/>
              </w:rPr>
              <w:t>Erdvinis eroziją stabdantis tinklas sudarytas iš raizgytų gijų, kurios gaminyje suformuoja ≥95 % tuštumų.</w:t>
            </w:r>
          </w:p>
        </w:tc>
      </w:tr>
      <w:tr>
        <w:trPr/>
        <w:tc>
          <w:tcPr>
            <w:tcW w:w="4268" w:type="dxa"/>
            <w:tcBorders>
              <w:bottom w:val="single" w:sz="8" w:space="0" w:color="000000"/>
              <w:right w:val="single" w:sz="8" w:space="0" w:color="000000"/>
            </w:tcBorders>
            <w:tcMar>
              <w:top w:w="0" w:type="dxa"/>
              <w:left w:w="0" w:type="dxa"/>
            </w:tcMar>
          </w:tcPr>
          <w:p>
            <w:pPr>
              <w:pStyle w:val="Lentelsturinysuser"/>
              <w:spacing w:before="0" w:after="0"/>
              <w:ind w:hanging="0" w:left="0" w:right="0"/>
              <w:rPr>
                <w:rFonts w:ascii="Arial" w:hAnsi="Arial"/>
                <w:sz w:val="16"/>
                <w:szCs w:val="16"/>
              </w:rPr>
            </w:pPr>
            <w:r>
              <w:rPr>
                <w:rFonts w:ascii="Arial" w:hAnsi="Arial"/>
                <w:sz w:val="16"/>
                <w:szCs w:val="16"/>
              </w:rPr>
              <w:t>Žaliava</w:t>
            </w:r>
          </w:p>
        </w:tc>
        <w:tc>
          <w:tcPr>
            <w:tcW w:w="2083" w:type="dxa"/>
            <w:tcBorders>
              <w:bottom w:val="single" w:sz="8" w:space="0" w:color="000000"/>
              <w:right w:val="single" w:sz="8" w:space="0" w:color="000000"/>
            </w:tcBorders>
            <w:tcMar>
              <w:top w:w="0" w:type="dxa"/>
              <w:left w:w="0" w:type="dxa"/>
            </w:tcMar>
            <w:vAlign w:val="center"/>
          </w:tcPr>
          <w:p>
            <w:pPr>
              <w:pStyle w:val="Lentelsturinysuser"/>
              <w:spacing w:before="0" w:after="0"/>
              <w:ind w:hanging="0" w:left="0" w:right="0"/>
              <w:rPr>
                <w:rFonts w:ascii="Arial" w:hAnsi="Arial"/>
                <w:sz w:val="16"/>
                <w:szCs w:val="16"/>
              </w:rPr>
            </w:pPr>
            <w:r>
              <w:rPr>
                <w:rFonts w:ascii="Arial" w:hAnsi="Arial"/>
                <w:sz w:val="16"/>
                <w:szCs w:val="16"/>
              </w:rPr>
              <w:t>-</w:t>
            </w:r>
          </w:p>
        </w:tc>
        <w:tc>
          <w:tcPr>
            <w:tcW w:w="3854" w:type="dxa"/>
            <w:tcBorders>
              <w:bottom w:val="single" w:sz="8" w:space="0" w:color="000000"/>
              <w:right w:val="single" w:sz="8" w:space="0" w:color="000000"/>
            </w:tcBorders>
            <w:tcMar>
              <w:top w:w="0" w:type="dxa"/>
              <w:left w:w="0" w:type="dxa"/>
            </w:tcMar>
            <w:vAlign w:val="center"/>
          </w:tcPr>
          <w:p>
            <w:pPr>
              <w:pStyle w:val="Lentelsturinysuser"/>
              <w:spacing w:before="0" w:after="0"/>
              <w:ind w:hanging="0" w:left="0" w:right="0"/>
              <w:rPr>
                <w:rFonts w:ascii="Arial" w:hAnsi="Arial"/>
                <w:sz w:val="16"/>
                <w:szCs w:val="16"/>
              </w:rPr>
            </w:pPr>
            <w:r>
              <w:rPr>
                <w:rFonts w:ascii="Arial" w:hAnsi="Arial"/>
                <w:sz w:val="16"/>
                <w:szCs w:val="16"/>
              </w:rPr>
              <w:t>Poliamidas (PA)</w:t>
            </w:r>
          </w:p>
        </w:tc>
      </w:tr>
      <w:tr>
        <w:trPr/>
        <w:tc>
          <w:tcPr>
            <w:tcW w:w="4268" w:type="dxa"/>
            <w:tcBorders>
              <w:bottom w:val="single" w:sz="8" w:space="0" w:color="000000"/>
              <w:right w:val="single" w:sz="8" w:space="0" w:color="000000"/>
            </w:tcBorders>
            <w:tcMar>
              <w:top w:w="0" w:type="dxa"/>
              <w:left w:w="0" w:type="dxa"/>
            </w:tcMar>
          </w:tcPr>
          <w:p>
            <w:pPr>
              <w:pStyle w:val="Lentelsturinysuser"/>
              <w:spacing w:before="0" w:after="0"/>
              <w:ind w:hanging="0" w:left="0" w:right="0"/>
              <w:rPr>
                <w:rFonts w:ascii="Arial" w:hAnsi="Arial"/>
                <w:sz w:val="16"/>
                <w:szCs w:val="16"/>
              </w:rPr>
            </w:pPr>
            <w:r>
              <w:rPr>
                <w:rFonts w:ascii="Arial" w:hAnsi="Arial"/>
                <w:sz w:val="16"/>
                <w:szCs w:val="16"/>
              </w:rPr>
              <w:t>Plotinis svoris</w:t>
            </w:r>
          </w:p>
        </w:tc>
        <w:tc>
          <w:tcPr>
            <w:tcW w:w="2083" w:type="dxa"/>
            <w:tcBorders>
              <w:bottom w:val="single" w:sz="8" w:space="0" w:color="000000"/>
              <w:right w:val="single" w:sz="8" w:space="0" w:color="000000"/>
            </w:tcBorders>
            <w:tcMar>
              <w:top w:w="0" w:type="dxa"/>
              <w:left w:w="0" w:type="dxa"/>
            </w:tcMar>
            <w:vAlign w:val="center"/>
          </w:tcPr>
          <w:p>
            <w:pPr>
              <w:pStyle w:val="Lentelsturinysuser"/>
              <w:spacing w:before="0" w:after="0"/>
              <w:ind w:hanging="0" w:left="0" w:right="0"/>
              <w:rPr>
                <w:rFonts w:ascii="Arial" w:hAnsi="Arial"/>
                <w:sz w:val="16"/>
                <w:szCs w:val="16"/>
              </w:rPr>
            </w:pPr>
            <w:r>
              <w:rPr>
                <w:rFonts w:ascii="Arial" w:hAnsi="Arial"/>
                <w:sz w:val="16"/>
                <w:szCs w:val="16"/>
              </w:rPr>
              <w:t>LST EN ISO 9864</w:t>
            </w:r>
          </w:p>
        </w:tc>
        <w:tc>
          <w:tcPr>
            <w:tcW w:w="3854" w:type="dxa"/>
            <w:tcBorders>
              <w:bottom w:val="single" w:sz="8" w:space="0" w:color="000000"/>
              <w:right w:val="single" w:sz="8" w:space="0" w:color="000000"/>
            </w:tcBorders>
            <w:tcMar>
              <w:top w:w="0" w:type="dxa"/>
              <w:left w:w="0" w:type="dxa"/>
            </w:tcMar>
            <w:vAlign w:val="center"/>
          </w:tcPr>
          <w:p>
            <w:pPr>
              <w:pStyle w:val="Lentelsturinysuser"/>
              <w:spacing w:before="0" w:after="0"/>
              <w:ind w:hanging="0" w:left="0" w:right="0"/>
              <w:rPr>
                <w:rFonts w:ascii="Arial" w:hAnsi="Arial"/>
                <w:sz w:val="16"/>
                <w:szCs w:val="16"/>
              </w:rPr>
            </w:pPr>
            <w:r>
              <w:rPr>
                <w:rFonts w:ascii="Arial" w:hAnsi="Arial"/>
                <w:sz w:val="16"/>
                <w:szCs w:val="16"/>
              </w:rPr>
              <w:t xml:space="preserve">≥ </w:t>
            </w:r>
            <w:r>
              <w:rPr>
                <w:rFonts w:ascii="Arial" w:hAnsi="Arial"/>
                <w:sz w:val="16"/>
                <w:szCs w:val="16"/>
              </w:rPr>
              <w:t>260 g/m</w:t>
            </w:r>
            <w:r>
              <w:rPr>
                <w:rFonts w:ascii="Arial" w:hAnsi="Arial"/>
                <w:position w:val="5"/>
                <w:sz w:val="16"/>
                <w:szCs w:val="16"/>
              </w:rPr>
              <w:t>2</w:t>
            </w:r>
          </w:p>
        </w:tc>
      </w:tr>
      <w:tr>
        <w:trPr/>
        <w:tc>
          <w:tcPr>
            <w:tcW w:w="4268" w:type="dxa"/>
            <w:tcBorders>
              <w:bottom w:val="single" w:sz="8" w:space="0" w:color="000000"/>
              <w:right w:val="single" w:sz="8" w:space="0" w:color="000000"/>
            </w:tcBorders>
            <w:tcMar>
              <w:top w:w="0" w:type="dxa"/>
              <w:left w:w="0" w:type="dxa"/>
            </w:tcMar>
          </w:tcPr>
          <w:p>
            <w:pPr>
              <w:pStyle w:val="Lentelsturinysuser"/>
              <w:spacing w:before="0" w:after="0"/>
              <w:ind w:hanging="0" w:left="0" w:right="0"/>
              <w:rPr>
                <w:rFonts w:ascii="Arial" w:hAnsi="Arial"/>
                <w:sz w:val="16"/>
                <w:szCs w:val="16"/>
              </w:rPr>
            </w:pPr>
            <w:r>
              <w:rPr>
                <w:rFonts w:ascii="Arial" w:hAnsi="Arial"/>
                <w:sz w:val="16"/>
                <w:szCs w:val="16"/>
              </w:rPr>
              <w:t>Storis (nominalus)</w:t>
            </w:r>
          </w:p>
        </w:tc>
        <w:tc>
          <w:tcPr>
            <w:tcW w:w="2083" w:type="dxa"/>
            <w:tcBorders>
              <w:bottom w:val="single" w:sz="8" w:space="0" w:color="000000"/>
              <w:right w:val="single" w:sz="8" w:space="0" w:color="000000"/>
            </w:tcBorders>
            <w:tcMar>
              <w:top w:w="0" w:type="dxa"/>
              <w:left w:w="0" w:type="dxa"/>
            </w:tcMar>
            <w:vAlign w:val="center"/>
          </w:tcPr>
          <w:p>
            <w:pPr>
              <w:pStyle w:val="Lentelsturinysuser"/>
              <w:spacing w:before="0" w:after="0"/>
              <w:ind w:hanging="0" w:left="0" w:right="0"/>
              <w:rPr>
                <w:rFonts w:ascii="Arial" w:hAnsi="Arial"/>
                <w:sz w:val="16"/>
                <w:szCs w:val="16"/>
              </w:rPr>
            </w:pPr>
            <w:r>
              <w:rPr>
                <w:rFonts w:ascii="Arial" w:hAnsi="Arial"/>
                <w:sz w:val="16"/>
                <w:szCs w:val="16"/>
              </w:rPr>
              <w:t>-</w:t>
            </w:r>
          </w:p>
        </w:tc>
        <w:tc>
          <w:tcPr>
            <w:tcW w:w="3854" w:type="dxa"/>
            <w:tcBorders>
              <w:bottom w:val="single" w:sz="8" w:space="0" w:color="000000"/>
              <w:right w:val="single" w:sz="8" w:space="0" w:color="000000"/>
            </w:tcBorders>
            <w:tcMar>
              <w:top w:w="0" w:type="dxa"/>
              <w:left w:w="0" w:type="dxa"/>
            </w:tcMar>
            <w:vAlign w:val="center"/>
          </w:tcPr>
          <w:p>
            <w:pPr>
              <w:pStyle w:val="Lentelsturinysuser"/>
              <w:spacing w:before="0" w:after="0"/>
              <w:ind w:hanging="0" w:left="0" w:right="0"/>
              <w:rPr>
                <w:rFonts w:ascii="Arial" w:hAnsi="Arial"/>
                <w:sz w:val="16"/>
                <w:szCs w:val="16"/>
              </w:rPr>
            </w:pPr>
            <w:r>
              <w:rPr>
                <w:rFonts w:ascii="Arial" w:hAnsi="Arial"/>
                <w:sz w:val="16"/>
                <w:szCs w:val="16"/>
              </w:rPr>
              <w:t xml:space="preserve">≈ </w:t>
            </w:r>
            <w:r>
              <w:rPr>
                <w:rFonts w:ascii="Arial" w:hAnsi="Arial"/>
                <w:sz w:val="16"/>
                <w:szCs w:val="16"/>
              </w:rPr>
              <w:t>18 mm</w:t>
            </w:r>
          </w:p>
        </w:tc>
      </w:tr>
      <w:tr>
        <w:trPr/>
        <w:tc>
          <w:tcPr>
            <w:tcW w:w="4268" w:type="dxa"/>
            <w:tcBorders>
              <w:bottom w:val="single" w:sz="8" w:space="0" w:color="000000"/>
              <w:right w:val="single" w:sz="8" w:space="0" w:color="000000"/>
            </w:tcBorders>
            <w:tcMar>
              <w:top w:w="0" w:type="dxa"/>
              <w:left w:w="0" w:type="dxa"/>
            </w:tcMar>
          </w:tcPr>
          <w:p>
            <w:pPr>
              <w:pStyle w:val="Lentelsturinysuser"/>
              <w:spacing w:before="0" w:after="0"/>
              <w:ind w:hanging="0" w:left="0" w:right="0"/>
              <w:rPr>
                <w:rFonts w:ascii="Arial" w:hAnsi="Arial"/>
                <w:sz w:val="16"/>
                <w:szCs w:val="16"/>
              </w:rPr>
            </w:pPr>
            <w:r>
              <w:rPr>
                <w:rFonts w:ascii="Arial" w:hAnsi="Arial"/>
                <w:sz w:val="16"/>
                <w:szCs w:val="16"/>
              </w:rPr>
              <w:t>Grunto sulaikymo koeficientas</w:t>
            </w:r>
          </w:p>
        </w:tc>
        <w:tc>
          <w:tcPr>
            <w:tcW w:w="2083" w:type="dxa"/>
            <w:tcBorders>
              <w:bottom w:val="single" w:sz="8" w:space="0" w:color="000000"/>
              <w:right w:val="single" w:sz="8" w:space="0" w:color="000000"/>
            </w:tcBorders>
            <w:tcMar>
              <w:top w:w="0" w:type="dxa"/>
              <w:left w:w="0" w:type="dxa"/>
            </w:tcMar>
            <w:vAlign w:val="center"/>
          </w:tcPr>
          <w:p>
            <w:pPr>
              <w:pStyle w:val="Lentelsturinysuser"/>
              <w:spacing w:before="0" w:after="0"/>
              <w:ind w:hanging="0" w:left="0" w:right="0"/>
              <w:rPr>
                <w:rFonts w:ascii="Arial" w:hAnsi="Arial"/>
                <w:sz w:val="16"/>
                <w:szCs w:val="16"/>
              </w:rPr>
            </w:pPr>
            <w:r>
              <w:rPr>
                <w:rFonts w:ascii="Arial" w:hAnsi="Arial"/>
                <w:sz w:val="16"/>
                <w:szCs w:val="16"/>
              </w:rPr>
              <w:t>-</w:t>
            </w:r>
          </w:p>
        </w:tc>
        <w:tc>
          <w:tcPr>
            <w:tcW w:w="3854" w:type="dxa"/>
            <w:tcBorders>
              <w:bottom w:val="single" w:sz="8" w:space="0" w:color="000000"/>
              <w:right w:val="single" w:sz="8" w:space="0" w:color="000000"/>
            </w:tcBorders>
            <w:tcMar>
              <w:top w:w="0" w:type="dxa"/>
              <w:left w:w="0" w:type="dxa"/>
            </w:tcMar>
            <w:vAlign w:val="center"/>
          </w:tcPr>
          <w:p>
            <w:pPr>
              <w:pStyle w:val="Lentelsturinysuser"/>
              <w:spacing w:before="0" w:after="0"/>
              <w:ind w:hanging="0" w:left="0" w:right="0"/>
              <w:rPr>
                <w:rFonts w:ascii="Arial" w:hAnsi="Arial"/>
                <w:sz w:val="16"/>
                <w:szCs w:val="16"/>
              </w:rPr>
            </w:pPr>
            <w:r>
              <w:rPr>
                <w:rFonts w:ascii="Arial" w:hAnsi="Arial"/>
                <w:sz w:val="16"/>
                <w:szCs w:val="16"/>
              </w:rPr>
              <w:t xml:space="preserve">≥ </w:t>
            </w:r>
            <w:r>
              <w:rPr>
                <w:rFonts w:ascii="Arial" w:hAnsi="Arial"/>
                <w:sz w:val="16"/>
                <w:szCs w:val="16"/>
              </w:rPr>
              <w:t>1160 m/m</w:t>
            </w:r>
            <w:r>
              <w:rPr>
                <w:rFonts w:ascii="Arial" w:hAnsi="Arial"/>
                <w:position w:val="5"/>
                <w:sz w:val="16"/>
                <w:szCs w:val="16"/>
              </w:rPr>
              <w:t>2</w:t>
            </w:r>
          </w:p>
        </w:tc>
      </w:tr>
      <w:tr>
        <w:trPr/>
        <w:tc>
          <w:tcPr>
            <w:tcW w:w="4268" w:type="dxa"/>
            <w:tcBorders>
              <w:bottom w:val="single" w:sz="8" w:space="0" w:color="000000"/>
              <w:right w:val="single" w:sz="8" w:space="0" w:color="000000"/>
            </w:tcBorders>
            <w:tcMar>
              <w:top w:w="0" w:type="dxa"/>
              <w:left w:w="0" w:type="dxa"/>
            </w:tcMar>
          </w:tcPr>
          <w:p>
            <w:pPr>
              <w:pStyle w:val="Lentelsturinysuser"/>
              <w:spacing w:before="0" w:after="0"/>
              <w:ind w:hanging="0" w:left="0" w:right="0"/>
              <w:rPr>
                <w:rFonts w:ascii="Arial" w:hAnsi="Arial"/>
                <w:sz w:val="16"/>
                <w:szCs w:val="16"/>
              </w:rPr>
            </w:pPr>
            <w:r>
              <w:rPr>
                <w:rFonts w:ascii="Arial" w:hAnsi="Arial"/>
                <w:sz w:val="16"/>
                <w:szCs w:val="16"/>
              </w:rPr>
              <w:t>Stipris tempiant</w:t>
            </w:r>
          </w:p>
          <w:p>
            <w:pPr>
              <w:pStyle w:val="Lentelsturinysuser"/>
              <w:spacing w:before="0" w:after="0"/>
              <w:ind w:hanging="0" w:left="0" w:right="0"/>
              <w:rPr>
                <w:rFonts w:ascii="Arial" w:hAnsi="Arial"/>
                <w:sz w:val="16"/>
                <w:szCs w:val="16"/>
              </w:rPr>
            </w:pPr>
            <w:r>
              <w:rPr>
                <w:rFonts w:ascii="Arial" w:hAnsi="Arial"/>
                <w:sz w:val="16"/>
                <w:szCs w:val="16"/>
              </w:rPr>
              <w:t>Išilgai</w:t>
            </w:r>
          </w:p>
          <w:p>
            <w:pPr>
              <w:pStyle w:val="Lentelsturinysuser"/>
              <w:spacing w:before="0" w:after="0"/>
              <w:ind w:hanging="0" w:left="0" w:right="0"/>
              <w:rPr>
                <w:rFonts w:ascii="Arial" w:hAnsi="Arial"/>
                <w:sz w:val="16"/>
                <w:szCs w:val="16"/>
              </w:rPr>
            </w:pPr>
            <w:r>
              <w:rPr>
                <w:rFonts w:ascii="Arial" w:hAnsi="Arial"/>
                <w:sz w:val="16"/>
                <w:szCs w:val="16"/>
              </w:rPr>
              <w:t>skersai</w:t>
            </w:r>
          </w:p>
        </w:tc>
        <w:tc>
          <w:tcPr>
            <w:tcW w:w="2083" w:type="dxa"/>
            <w:tcBorders>
              <w:bottom w:val="single" w:sz="8" w:space="0" w:color="000000"/>
              <w:right w:val="single" w:sz="8" w:space="0" w:color="000000"/>
            </w:tcBorders>
            <w:tcMar>
              <w:top w:w="0" w:type="dxa"/>
              <w:left w:w="0" w:type="dxa"/>
            </w:tcMar>
            <w:vAlign w:val="center"/>
          </w:tcPr>
          <w:p>
            <w:pPr>
              <w:pStyle w:val="Lentelsturinysuser"/>
              <w:spacing w:before="0" w:after="0"/>
              <w:ind w:hanging="0" w:left="0" w:right="0"/>
              <w:rPr>
                <w:rFonts w:ascii="Arial" w:hAnsi="Arial"/>
                <w:sz w:val="16"/>
                <w:szCs w:val="16"/>
              </w:rPr>
            </w:pPr>
            <w:r>
              <w:rPr>
                <w:rFonts w:ascii="Arial" w:hAnsi="Arial"/>
                <w:sz w:val="16"/>
                <w:szCs w:val="16"/>
              </w:rPr>
              <w:t>LST EN ISO 10319</w:t>
            </w:r>
          </w:p>
        </w:tc>
        <w:tc>
          <w:tcPr>
            <w:tcW w:w="3854" w:type="dxa"/>
            <w:tcBorders>
              <w:bottom w:val="single" w:sz="8" w:space="0" w:color="000000"/>
              <w:right w:val="single" w:sz="8" w:space="0" w:color="000000"/>
            </w:tcBorders>
            <w:tcMar>
              <w:top w:w="0" w:type="dxa"/>
              <w:left w:w="0" w:type="dxa"/>
            </w:tcMar>
            <w:vAlign w:val="center"/>
          </w:tcPr>
          <w:p>
            <w:pPr>
              <w:pStyle w:val="Lentelsturinysuser"/>
              <w:spacing w:before="0" w:after="0"/>
              <w:ind w:hanging="0" w:left="0" w:right="0"/>
              <w:rPr>
                <w:rFonts w:ascii="Arial" w:hAnsi="Arial"/>
                <w:sz w:val="16"/>
                <w:szCs w:val="16"/>
              </w:rPr>
            </w:pPr>
            <w:r>
              <w:rPr/>
            </w:r>
          </w:p>
          <w:p>
            <w:pPr>
              <w:pStyle w:val="Lentelsturinysuser"/>
              <w:spacing w:before="0" w:after="0"/>
              <w:ind w:hanging="0" w:left="0" w:right="0"/>
              <w:rPr>
                <w:rFonts w:ascii="Arial" w:hAnsi="Arial"/>
                <w:sz w:val="16"/>
                <w:szCs w:val="16"/>
              </w:rPr>
            </w:pPr>
            <w:r>
              <w:rPr>
                <w:rFonts w:ascii="Arial" w:hAnsi="Arial"/>
                <w:sz w:val="16"/>
                <w:szCs w:val="16"/>
              </w:rPr>
              <w:t xml:space="preserve">≥ </w:t>
            </w:r>
            <w:r>
              <w:rPr>
                <w:rFonts w:ascii="Arial" w:hAnsi="Arial"/>
                <w:sz w:val="16"/>
                <w:szCs w:val="16"/>
              </w:rPr>
              <w:t>1,7 kN/m</w:t>
            </w:r>
          </w:p>
          <w:p>
            <w:pPr>
              <w:pStyle w:val="Lentelsturinysuser"/>
              <w:spacing w:before="0" w:after="0"/>
              <w:ind w:hanging="0" w:left="0" w:right="0"/>
              <w:rPr>
                <w:rFonts w:ascii="Arial" w:hAnsi="Arial"/>
                <w:sz w:val="16"/>
                <w:szCs w:val="16"/>
              </w:rPr>
            </w:pPr>
            <w:r>
              <w:rPr>
                <w:rFonts w:ascii="Arial" w:hAnsi="Arial"/>
                <w:sz w:val="16"/>
                <w:szCs w:val="16"/>
              </w:rPr>
              <w:t xml:space="preserve">≥ </w:t>
            </w:r>
            <w:r>
              <w:rPr>
                <w:rFonts w:ascii="Arial" w:hAnsi="Arial"/>
                <w:sz w:val="16"/>
                <w:szCs w:val="16"/>
              </w:rPr>
              <w:t>0,7 kN/m</w:t>
            </w:r>
          </w:p>
        </w:tc>
      </w:tr>
      <w:tr>
        <w:trPr/>
        <w:tc>
          <w:tcPr>
            <w:tcW w:w="4268" w:type="dxa"/>
            <w:tcBorders>
              <w:bottom w:val="single" w:sz="8" w:space="0" w:color="000000"/>
              <w:right w:val="single" w:sz="8" w:space="0" w:color="000000"/>
            </w:tcBorders>
            <w:tcMar>
              <w:top w:w="0" w:type="dxa"/>
              <w:left w:w="0" w:type="dxa"/>
            </w:tcMar>
          </w:tcPr>
          <w:p>
            <w:pPr>
              <w:pStyle w:val="Lentelsturinysuser"/>
              <w:spacing w:before="0" w:after="0"/>
              <w:ind w:hanging="0" w:left="0" w:right="0"/>
              <w:rPr>
                <w:rFonts w:ascii="Arial" w:hAnsi="Arial"/>
                <w:sz w:val="16"/>
                <w:szCs w:val="16"/>
              </w:rPr>
            </w:pPr>
            <w:r>
              <w:rPr>
                <w:rFonts w:ascii="Arial" w:hAnsi="Arial"/>
                <w:sz w:val="16"/>
                <w:szCs w:val="16"/>
              </w:rPr>
              <w:t>Pailgėjimas esant maks. stipriui tempiant</w:t>
            </w:r>
          </w:p>
          <w:p>
            <w:pPr>
              <w:pStyle w:val="Lentelsturinysuser"/>
              <w:spacing w:before="0" w:after="0"/>
              <w:ind w:hanging="0" w:left="0" w:right="0"/>
              <w:rPr>
                <w:rFonts w:ascii="Arial" w:hAnsi="Arial"/>
                <w:sz w:val="16"/>
                <w:szCs w:val="16"/>
              </w:rPr>
            </w:pPr>
            <w:r>
              <w:rPr>
                <w:rFonts w:ascii="Arial" w:hAnsi="Arial"/>
                <w:sz w:val="16"/>
                <w:szCs w:val="16"/>
              </w:rPr>
              <w:t>Išilgai</w:t>
            </w:r>
          </w:p>
          <w:p>
            <w:pPr>
              <w:pStyle w:val="Lentelsturinysuser"/>
              <w:spacing w:before="0" w:after="0"/>
              <w:ind w:hanging="0" w:left="0" w:right="0"/>
              <w:rPr>
                <w:rFonts w:ascii="Arial" w:hAnsi="Arial"/>
                <w:sz w:val="16"/>
                <w:szCs w:val="16"/>
              </w:rPr>
            </w:pPr>
            <w:r>
              <w:rPr>
                <w:rFonts w:ascii="Arial" w:hAnsi="Arial"/>
                <w:sz w:val="16"/>
                <w:szCs w:val="16"/>
              </w:rPr>
              <w:t>skersai</w:t>
            </w:r>
          </w:p>
        </w:tc>
        <w:tc>
          <w:tcPr>
            <w:tcW w:w="2083" w:type="dxa"/>
            <w:tcBorders>
              <w:bottom w:val="single" w:sz="8" w:space="0" w:color="000000"/>
              <w:right w:val="single" w:sz="8" w:space="0" w:color="000000"/>
            </w:tcBorders>
            <w:tcMar>
              <w:top w:w="0" w:type="dxa"/>
              <w:left w:w="0" w:type="dxa"/>
            </w:tcMar>
            <w:vAlign w:val="center"/>
          </w:tcPr>
          <w:p>
            <w:pPr>
              <w:pStyle w:val="Lentelsturinysuser"/>
              <w:spacing w:before="0" w:after="0"/>
              <w:ind w:hanging="0" w:left="0" w:right="0"/>
              <w:rPr>
                <w:rFonts w:ascii="Arial" w:hAnsi="Arial"/>
                <w:sz w:val="16"/>
                <w:szCs w:val="16"/>
              </w:rPr>
            </w:pPr>
            <w:r>
              <w:rPr>
                <w:rFonts w:ascii="Arial" w:hAnsi="Arial"/>
                <w:sz w:val="16"/>
                <w:szCs w:val="16"/>
              </w:rPr>
              <w:t>LST EN ISO 10319</w:t>
            </w:r>
          </w:p>
        </w:tc>
        <w:tc>
          <w:tcPr>
            <w:tcW w:w="3854" w:type="dxa"/>
            <w:tcBorders>
              <w:bottom w:val="single" w:sz="8" w:space="0" w:color="000000"/>
              <w:right w:val="single" w:sz="8" w:space="0" w:color="000000"/>
            </w:tcBorders>
            <w:tcMar>
              <w:top w:w="0" w:type="dxa"/>
              <w:left w:w="0" w:type="dxa"/>
            </w:tcMar>
            <w:vAlign w:val="center"/>
          </w:tcPr>
          <w:p>
            <w:pPr>
              <w:pStyle w:val="Lentelsturinysuser"/>
              <w:spacing w:before="0" w:after="0"/>
              <w:ind w:hanging="0" w:left="0" w:right="0"/>
              <w:rPr>
                <w:rFonts w:ascii="Arial" w:hAnsi="Arial"/>
                <w:sz w:val="16"/>
                <w:szCs w:val="16"/>
              </w:rPr>
            </w:pPr>
            <w:r>
              <w:rPr/>
            </w:r>
          </w:p>
          <w:p>
            <w:pPr>
              <w:pStyle w:val="Lentelsturinysuser"/>
              <w:spacing w:before="0" w:after="0"/>
              <w:ind w:hanging="0" w:left="0" w:right="0"/>
              <w:rPr>
                <w:rFonts w:ascii="Arial" w:hAnsi="Arial"/>
                <w:sz w:val="16"/>
                <w:szCs w:val="16"/>
              </w:rPr>
            </w:pPr>
            <w:r>
              <w:rPr/>
            </w:r>
          </w:p>
          <w:p>
            <w:pPr>
              <w:pStyle w:val="Lentelsturinysuser"/>
              <w:spacing w:before="0" w:after="0"/>
              <w:ind w:hanging="0" w:left="0" w:right="0"/>
              <w:rPr>
                <w:rFonts w:ascii="Arial" w:hAnsi="Arial"/>
                <w:sz w:val="16"/>
                <w:szCs w:val="16"/>
              </w:rPr>
            </w:pPr>
            <w:r>
              <w:rPr>
                <w:rFonts w:ascii="Arial" w:hAnsi="Arial"/>
                <w:sz w:val="16"/>
                <w:szCs w:val="16"/>
              </w:rPr>
              <w:t xml:space="preserve">≥ </w:t>
            </w:r>
            <w:r>
              <w:rPr>
                <w:rFonts w:ascii="Arial" w:hAnsi="Arial"/>
                <w:sz w:val="16"/>
                <w:szCs w:val="16"/>
              </w:rPr>
              <w:t>40 %</w:t>
            </w:r>
          </w:p>
          <w:p>
            <w:pPr>
              <w:pStyle w:val="Lentelsturinysuser"/>
              <w:spacing w:before="0" w:after="0"/>
              <w:ind w:hanging="0" w:left="0" w:right="0"/>
              <w:rPr>
                <w:rFonts w:ascii="Arial" w:hAnsi="Arial"/>
                <w:sz w:val="16"/>
                <w:szCs w:val="16"/>
              </w:rPr>
            </w:pPr>
            <w:r>
              <w:rPr>
                <w:rFonts w:ascii="Arial" w:hAnsi="Arial"/>
                <w:sz w:val="16"/>
                <w:szCs w:val="16"/>
              </w:rPr>
              <w:t xml:space="preserve">≥ </w:t>
            </w:r>
            <w:r>
              <w:rPr>
                <w:rFonts w:ascii="Arial" w:hAnsi="Arial"/>
                <w:sz w:val="16"/>
                <w:szCs w:val="16"/>
              </w:rPr>
              <w:t>40 %</w:t>
            </w:r>
          </w:p>
        </w:tc>
      </w:tr>
      <w:tr>
        <w:trPr/>
        <w:tc>
          <w:tcPr>
            <w:tcW w:w="4268" w:type="dxa"/>
            <w:tcBorders>
              <w:bottom w:val="single" w:sz="8" w:space="0" w:color="000000"/>
              <w:right w:val="single" w:sz="8" w:space="0" w:color="000000"/>
            </w:tcBorders>
            <w:tcMar>
              <w:top w:w="0" w:type="dxa"/>
              <w:left w:w="0" w:type="dxa"/>
            </w:tcMar>
          </w:tcPr>
          <w:p>
            <w:pPr>
              <w:pStyle w:val="Lentelsturinysuser"/>
              <w:spacing w:before="0" w:after="0"/>
              <w:ind w:hanging="0" w:left="0" w:right="0"/>
              <w:rPr>
                <w:rFonts w:ascii="Arial" w:hAnsi="Arial"/>
                <w:sz w:val="16"/>
                <w:szCs w:val="16"/>
              </w:rPr>
            </w:pPr>
            <w:r>
              <w:rPr>
                <w:rFonts w:ascii="Arial" w:hAnsi="Arial"/>
                <w:sz w:val="16"/>
                <w:szCs w:val="16"/>
              </w:rPr>
              <w:t>Atsparumas aplinkos temperatūroms</w:t>
            </w:r>
          </w:p>
        </w:tc>
        <w:tc>
          <w:tcPr>
            <w:tcW w:w="2083" w:type="dxa"/>
            <w:tcBorders>
              <w:bottom w:val="single" w:sz="8" w:space="0" w:color="000000"/>
              <w:right w:val="single" w:sz="8" w:space="0" w:color="000000"/>
            </w:tcBorders>
            <w:tcMar>
              <w:top w:w="0" w:type="dxa"/>
              <w:left w:w="0" w:type="dxa"/>
            </w:tcMar>
            <w:vAlign w:val="center"/>
          </w:tcPr>
          <w:p>
            <w:pPr>
              <w:pStyle w:val="Lentelsturinysuser"/>
              <w:spacing w:before="0" w:after="0"/>
              <w:ind w:hanging="0" w:left="0" w:right="0"/>
              <w:rPr>
                <w:rFonts w:ascii="Arial" w:hAnsi="Arial"/>
                <w:sz w:val="16"/>
                <w:szCs w:val="16"/>
              </w:rPr>
            </w:pPr>
            <w:r>
              <w:rPr>
                <w:rFonts w:ascii="Arial" w:hAnsi="Arial"/>
                <w:sz w:val="16"/>
                <w:szCs w:val="16"/>
              </w:rPr>
              <w:t>-</w:t>
            </w:r>
          </w:p>
        </w:tc>
        <w:tc>
          <w:tcPr>
            <w:tcW w:w="3854" w:type="dxa"/>
            <w:tcBorders>
              <w:bottom w:val="single" w:sz="8" w:space="0" w:color="000000"/>
              <w:right w:val="single" w:sz="8" w:space="0" w:color="000000"/>
            </w:tcBorders>
            <w:tcMar>
              <w:top w:w="0" w:type="dxa"/>
              <w:left w:w="0" w:type="dxa"/>
            </w:tcMar>
            <w:vAlign w:val="center"/>
          </w:tcPr>
          <w:p>
            <w:pPr>
              <w:pStyle w:val="Lentelsturinysuser"/>
              <w:spacing w:before="0" w:after="0"/>
              <w:ind w:hanging="0" w:left="0" w:right="0"/>
              <w:rPr>
                <w:rFonts w:ascii="Arial" w:hAnsi="Arial"/>
                <w:sz w:val="16"/>
                <w:szCs w:val="16"/>
              </w:rPr>
            </w:pPr>
            <w:r>
              <w:rPr>
                <w:rFonts w:ascii="Arial" w:hAnsi="Arial"/>
                <w:sz w:val="16"/>
                <w:szCs w:val="16"/>
              </w:rPr>
              <w:t>nuo -40 °C iki +80 °C</w:t>
            </w:r>
          </w:p>
        </w:tc>
      </w:tr>
      <w:tr>
        <w:trPr/>
        <w:tc>
          <w:tcPr>
            <w:tcW w:w="4268" w:type="dxa"/>
            <w:tcBorders>
              <w:bottom w:val="single" w:sz="8" w:space="0" w:color="000000"/>
              <w:right w:val="single" w:sz="8" w:space="0" w:color="000000"/>
            </w:tcBorders>
            <w:tcMar>
              <w:top w:w="0" w:type="dxa"/>
              <w:left w:w="0" w:type="dxa"/>
            </w:tcMar>
          </w:tcPr>
          <w:p>
            <w:pPr>
              <w:pStyle w:val="Lentelsturinysuser"/>
              <w:spacing w:before="0" w:after="0"/>
              <w:ind w:hanging="0" w:left="0" w:right="0"/>
              <w:rPr>
                <w:rFonts w:ascii="Arial" w:hAnsi="Arial"/>
                <w:sz w:val="16"/>
                <w:szCs w:val="16"/>
              </w:rPr>
            </w:pPr>
            <w:r>
              <w:rPr>
                <w:rFonts w:ascii="Arial" w:hAnsi="Arial"/>
                <w:sz w:val="16"/>
                <w:szCs w:val="16"/>
              </w:rPr>
              <w:t>Ilgaamžiškumas</w:t>
            </w:r>
          </w:p>
        </w:tc>
        <w:tc>
          <w:tcPr>
            <w:tcW w:w="2083" w:type="dxa"/>
            <w:tcBorders>
              <w:bottom w:val="single" w:sz="8" w:space="0" w:color="000000"/>
              <w:right w:val="single" w:sz="8" w:space="0" w:color="000000"/>
            </w:tcBorders>
            <w:tcMar>
              <w:top w:w="0" w:type="dxa"/>
              <w:left w:w="0" w:type="dxa"/>
            </w:tcMar>
            <w:vAlign w:val="center"/>
          </w:tcPr>
          <w:p>
            <w:pPr>
              <w:pStyle w:val="Lentelsturinysuser"/>
              <w:spacing w:before="0" w:after="0"/>
              <w:ind w:hanging="0" w:left="0" w:right="0"/>
              <w:rPr>
                <w:rFonts w:ascii="Arial" w:hAnsi="Arial"/>
                <w:sz w:val="16"/>
                <w:szCs w:val="16"/>
              </w:rPr>
            </w:pPr>
            <w:r>
              <w:rPr>
                <w:rFonts w:ascii="Arial" w:hAnsi="Arial"/>
                <w:sz w:val="16"/>
                <w:szCs w:val="16"/>
              </w:rPr>
              <w:t>LST EN 13253 priedas B</w:t>
            </w:r>
          </w:p>
        </w:tc>
        <w:tc>
          <w:tcPr>
            <w:tcW w:w="3854" w:type="dxa"/>
            <w:tcBorders>
              <w:bottom w:val="single" w:sz="8" w:space="0" w:color="000000"/>
              <w:right w:val="single" w:sz="8" w:space="0" w:color="000000"/>
            </w:tcBorders>
            <w:tcMar>
              <w:top w:w="0" w:type="dxa"/>
              <w:left w:w="0" w:type="dxa"/>
            </w:tcMar>
            <w:vAlign w:val="center"/>
          </w:tcPr>
          <w:p>
            <w:pPr>
              <w:pStyle w:val="Lentelsturinysuser"/>
              <w:spacing w:before="0" w:after="0"/>
              <w:ind w:hanging="0" w:left="0" w:right="0"/>
              <w:rPr>
                <w:rFonts w:ascii="Arial" w:hAnsi="Arial"/>
                <w:sz w:val="16"/>
                <w:szCs w:val="16"/>
              </w:rPr>
            </w:pPr>
            <w:r>
              <w:rPr>
                <w:rFonts w:ascii="Arial" w:hAnsi="Arial"/>
                <w:sz w:val="16"/>
                <w:szCs w:val="16"/>
              </w:rPr>
              <w:t>Eksploatacijos laikas yra ne trumpesnis nei 50 metų, natūraliuose gruntuose, kurių aplinkinė terpė 4 ≤ pH ≤ 9 bei grunto temperatūra &lt;25˚C.</w:t>
            </w:r>
          </w:p>
        </w:tc>
      </w:tr>
      <w:tr>
        <w:trPr>
          <w:trHeight w:val="311" w:hRule="atLeast"/>
        </w:trPr>
        <w:tc>
          <w:tcPr>
            <w:tcW w:w="6351" w:type="dxa"/>
            <w:gridSpan w:val="2"/>
            <w:tcBorders>
              <w:bottom w:val="single" w:sz="8" w:space="0" w:color="000000"/>
              <w:right w:val="single" w:sz="8" w:space="0" w:color="000000"/>
            </w:tcBorders>
            <w:tcMar>
              <w:top w:w="0" w:type="dxa"/>
              <w:left w:w="0" w:type="dxa"/>
            </w:tcMar>
          </w:tcPr>
          <w:p>
            <w:pPr>
              <w:pStyle w:val="Lentelsturinysuser"/>
              <w:spacing w:before="0" w:after="0"/>
              <w:ind w:hanging="0" w:left="0" w:right="0"/>
              <w:rPr>
                <w:rFonts w:ascii="Arial" w:hAnsi="Arial"/>
                <w:sz w:val="16"/>
                <w:szCs w:val="16"/>
              </w:rPr>
            </w:pPr>
            <w:r>
              <w:rPr>
                <w:rFonts w:ascii="Arial" w:hAnsi="Arial"/>
                <w:sz w:val="16"/>
                <w:szCs w:val="16"/>
              </w:rPr>
              <w:t>Produkto poveikio aplinkai deklaracija (EPD)</w:t>
            </w:r>
          </w:p>
        </w:tc>
        <w:tc>
          <w:tcPr>
            <w:tcW w:w="3854" w:type="dxa"/>
            <w:tcBorders>
              <w:bottom w:val="single" w:sz="8" w:space="0" w:color="000000"/>
              <w:right w:val="single" w:sz="8" w:space="0" w:color="000000"/>
            </w:tcBorders>
            <w:tcMar>
              <w:top w:w="0" w:type="dxa"/>
              <w:left w:w="0" w:type="dxa"/>
            </w:tcMar>
          </w:tcPr>
          <w:p>
            <w:pPr>
              <w:pStyle w:val="Lentelsturinysuser"/>
              <w:spacing w:before="0" w:after="0"/>
              <w:ind w:hanging="0" w:left="0" w:right="0"/>
              <w:rPr>
                <w:rFonts w:ascii="Arial" w:hAnsi="Arial"/>
                <w:sz w:val="16"/>
                <w:szCs w:val="16"/>
              </w:rPr>
            </w:pPr>
            <w:r>
              <w:rPr>
                <w:rFonts w:ascii="Arial" w:hAnsi="Arial"/>
                <w:sz w:val="16"/>
                <w:szCs w:val="16"/>
              </w:rPr>
              <w:t>Privalomas</w:t>
            </w:r>
          </w:p>
        </w:tc>
      </w:tr>
    </w:tbl>
    <w:p>
      <w:pPr>
        <w:pStyle w:val="Normal"/>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r>
    </w:p>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r>
    </w:p>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t>Darbai prieš klojant priešerozinį paklotą:</w:t>
      </w:r>
    </w:p>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t>Šlaitas išlyginamas, pašalinami visi dideli akmenys, aukščio perkritimai ar kitos kliūtys kurios neleistų paklotui tolygiai priglusti prie šlaito, paskleisti 10 cm juodžemio prieš klojant paklotą.</w:t>
      </w:r>
    </w:p>
    <w:p>
      <w:pPr>
        <w:pStyle w:val="Paprtekstas"/>
        <w:widowControl/>
        <w:suppressAutoHyphens w:val="true"/>
        <w:bidi w:val="0"/>
        <w:spacing w:lineRule="auto" w:line="276"/>
        <w:rPr>
          <w:rFonts w:eastAsia="Times New Roman" w:cs="Times New Roman"/>
          <w:color w:val="auto"/>
          <w:kern w:val="0"/>
          <w:szCs w:val="24"/>
          <w:lang w:val="lt-LT" w:eastAsia="en-US" w:bidi="ar-SA"/>
        </w:rPr>
      </w:pPr>
      <w:r>
        <w:drawing>
          <wp:anchor behindDoc="0" distT="0" distB="0" distL="114300" distR="114300" simplePos="0" locked="0" layoutInCell="0" allowOverlap="1" relativeHeight="196">
            <wp:simplePos x="0" y="0"/>
            <wp:positionH relativeFrom="column">
              <wp:posOffset>-1905</wp:posOffset>
            </wp:positionH>
            <wp:positionV relativeFrom="paragraph">
              <wp:posOffset>43180</wp:posOffset>
            </wp:positionV>
            <wp:extent cx="2827655" cy="1591945"/>
            <wp:effectExtent l="0" t="0" r="0" b="0"/>
            <wp:wrapTopAndBottom/>
            <wp:docPr id="1" name="Image6 Copy 2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6 Copy 2 Copy 1"/>
                    <pic:cNvPicPr>
                      <a:picLocks noChangeAspect="1" noChangeArrowheads="1"/>
                    </pic:cNvPicPr>
                  </pic:nvPicPr>
                  <pic:blipFill>
                    <a:blip r:embed="rId2"/>
                    <a:stretch>
                      <a:fillRect/>
                    </a:stretch>
                  </pic:blipFill>
                  <pic:spPr bwMode="auto">
                    <a:xfrm>
                      <a:off x="0" y="0"/>
                      <a:ext cx="2827655" cy="1591945"/>
                    </a:xfrm>
                    <a:prstGeom prst="rect">
                      <a:avLst/>
                    </a:prstGeom>
                    <a:noFill/>
                  </pic:spPr>
                </pic:pic>
              </a:graphicData>
            </a:graphic>
          </wp:anchor>
        </w:drawing>
        <w:drawing>
          <wp:anchor behindDoc="0" distT="0" distB="0" distL="114300" distR="114300" simplePos="0" locked="0" layoutInCell="0" allowOverlap="1" relativeHeight="197">
            <wp:simplePos x="0" y="0"/>
            <wp:positionH relativeFrom="column">
              <wp:posOffset>2884805</wp:posOffset>
            </wp:positionH>
            <wp:positionV relativeFrom="paragraph">
              <wp:posOffset>91440</wp:posOffset>
            </wp:positionV>
            <wp:extent cx="1171575" cy="1514475"/>
            <wp:effectExtent l="0" t="0" r="0" b="0"/>
            <wp:wrapTopAndBottom/>
            <wp:docPr id="2" name="Picture 3 Copy 1" descr="Close-up of a black mes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 Copy 1" descr="Close-up of a black mesh&#10;&#10;Description automatically generated"/>
                    <pic:cNvPicPr>
                      <a:picLocks noChangeAspect="1" noChangeArrowheads="1"/>
                    </pic:cNvPicPr>
                  </pic:nvPicPr>
                  <pic:blipFill>
                    <a:blip r:embed="rId3"/>
                    <a:stretch>
                      <a:fillRect/>
                    </a:stretch>
                  </pic:blipFill>
                  <pic:spPr bwMode="auto">
                    <a:xfrm>
                      <a:off x="0" y="0"/>
                      <a:ext cx="1171575" cy="1514475"/>
                    </a:xfrm>
                    <a:prstGeom prst="rect">
                      <a:avLst/>
                    </a:prstGeom>
                    <a:noFill/>
                  </pic:spPr>
                </pic:pic>
              </a:graphicData>
            </a:graphic>
          </wp:anchor>
        </w:drawing>
        <w:drawing>
          <wp:anchor behindDoc="0" distT="0" distB="0" distL="114300" distR="114300" simplePos="0" locked="0" layoutInCell="0" allowOverlap="1" relativeHeight="198">
            <wp:simplePos x="0" y="0"/>
            <wp:positionH relativeFrom="column">
              <wp:posOffset>4139565</wp:posOffset>
            </wp:positionH>
            <wp:positionV relativeFrom="paragraph">
              <wp:posOffset>175260</wp:posOffset>
            </wp:positionV>
            <wp:extent cx="2547620" cy="1179195"/>
            <wp:effectExtent l="0" t="0" r="0" b="0"/>
            <wp:wrapSquare wrapText="left"/>
            <wp:docPr id="3" name="Image7 Copy 2 Copy 1" descr="A diagram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7 Copy 2 Copy 1" descr="A diagram of a building&#10;&#10;Description automatically generated"/>
                    <pic:cNvPicPr>
                      <a:picLocks noChangeAspect="1" noChangeArrowheads="1"/>
                    </pic:cNvPicPr>
                  </pic:nvPicPr>
                  <pic:blipFill>
                    <a:blip r:embed="rId4"/>
                    <a:stretch>
                      <a:fillRect/>
                    </a:stretch>
                  </pic:blipFill>
                  <pic:spPr bwMode="auto">
                    <a:xfrm>
                      <a:off x="0" y="0"/>
                      <a:ext cx="2547620" cy="1179195"/>
                    </a:xfrm>
                    <a:prstGeom prst="rect">
                      <a:avLst/>
                    </a:prstGeom>
                    <a:noFill/>
                  </pic:spPr>
                </pic:pic>
              </a:graphicData>
            </a:graphic>
          </wp:anchor>
        </w:drawing>
      </w:r>
      <w:r>
        <w:rPr>
          <w:rFonts w:eastAsia="Times New Roman" w:cs="Times New Roman"/>
          <w:color w:val="auto"/>
          <w:kern w:val="0"/>
          <w:szCs w:val="24"/>
          <w:lang w:val="lt-LT" w:eastAsia="en-US" w:bidi="ar-SA"/>
        </w:rPr>
        <w:t>Pakloto tvirtinimas. Tinklas prie šlaito paviršiaus turi būti tvirtinimas tranšėjoje šlaito viršuje ir apačioje bei smeigėmis geotinklo persidengimų zonose.</w:t>
      </w:r>
    </w:p>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t xml:space="preserve">Tvirtinimas šlaito viršuje - maždaug 1,0 m atstumu nuo šlaito keteros (jei neįmanoma, atstumas gali būti sumažinamas iki 0,5 m, iškasama 0,5 m x 0,5 m matmenų tranšėja (2 paveikslas). </w:t>
      </w:r>
    </w:p>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t>Tranšėja gali būti pritaikoma ir vandens surinkimui, joje įrengiant nesudėtingą drenažo sistemą (3 p</w:t>
      </w:r>
      <w:r>
        <w:drawing>
          <wp:anchor behindDoc="0" distT="0" distB="0" distL="114300" distR="114300" simplePos="0" locked="0" layoutInCell="0" allowOverlap="1" relativeHeight="199">
            <wp:simplePos x="0" y="0"/>
            <wp:positionH relativeFrom="column">
              <wp:posOffset>5006340</wp:posOffset>
            </wp:positionH>
            <wp:positionV relativeFrom="paragraph">
              <wp:posOffset>187325</wp:posOffset>
            </wp:positionV>
            <wp:extent cx="1412875" cy="1473200"/>
            <wp:effectExtent l="0" t="0" r="0" b="0"/>
            <wp:wrapSquare wrapText="bothSides"/>
            <wp:docPr id="4" name="Image8 Copy 1 Copy 1" descr="A diagram of a drainage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8 Copy 1 Copy 1" descr="A diagram of a drainage system&#10;&#10;Description automatically generated"/>
                    <pic:cNvPicPr>
                      <a:picLocks noChangeAspect="1" noChangeArrowheads="1"/>
                    </pic:cNvPicPr>
                  </pic:nvPicPr>
                  <pic:blipFill>
                    <a:blip r:embed="rId5"/>
                    <a:stretch>
                      <a:fillRect/>
                    </a:stretch>
                  </pic:blipFill>
                  <pic:spPr bwMode="auto">
                    <a:xfrm>
                      <a:off x="0" y="0"/>
                      <a:ext cx="1412875" cy="1473200"/>
                    </a:xfrm>
                    <a:prstGeom prst="rect">
                      <a:avLst/>
                    </a:prstGeom>
                    <a:noFill/>
                  </pic:spPr>
                </pic:pic>
              </a:graphicData>
            </a:graphic>
          </wp:anchor>
        </w:drawing>
        <w:drawing>
          <wp:anchor behindDoc="0" distT="0" distB="0" distL="114300" distR="114300" simplePos="0" locked="0" layoutInCell="0" allowOverlap="1" relativeHeight="200">
            <wp:simplePos x="0" y="0"/>
            <wp:positionH relativeFrom="column">
              <wp:posOffset>2635885</wp:posOffset>
            </wp:positionH>
            <wp:positionV relativeFrom="paragraph">
              <wp:posOffset>89535</wp:posOffset>
            </wp:positionV>
            <wp:extent cx="2259965" cy="1523365"/>
            <wp:effectExtent l="0" t="0" r="0" b="0"/>
            <wp:wrapSquare wrapText="bothSides"/>
            <wp:docPr id="5" name="Image9 Copy 2 Copy 1" descr="A drainage grate next to a dirt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9 Copy 2 Copy 1" descr="A drainage grate next to a dirt field&#10;&#10;Description automatically generated"/>
                    <pic:cNvPicPr>
                      <a:picLocks noChangeAspect="1" noChangeArrowheads="1"/>
                    </pic:cNvPicPr>
                  </pic:nvPicPr>
                  <pic:blipFill>
                    <a:blip r:embed="rId6"/>
                    <a:stretch>
                      <a:fillRect/>
                    </a:stretch>
                  </pic:blipFill>
                  <pic:spPr bwMode="auto">
                    <a:xfrm>
                      <a:off x="0" y="0"/>
                      <a:ext cx="2259965" cy="1523365"/>
                    </a:xfrm>
                    <a:prstGeom prst="rect">
                      <a:avLst/>
                    </a:prstGeom>
                    <a:noFill/>
                  </pic:spPr>
                </pic:pic>
              </a:graphicData>
            </a:graphic>
          </wp:anchor>
        </w:drawing>
      </w:r>
      <w:r>
        <w:rPr>
          <w:rFonts w:eastAsia="Times New Roman" w:cs="Times New Roman"/>
          <w:color w:val="auto"/>
          <w:kern w:val="0"/>
          <w:szCs w:val="24"/>
          <w:lang w:val="lt-LT" w:eastAsia="en-US" w:bidi="ar-SA"/>
        </w:rPr>
        <w:t>aveikslas).</w:t>
      </w:r>
    </w:p>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t>Geotinklo tvirtinimas šlaito apačioje atliekamas laisvą jo galą įtiesiant į iš anksto paruoštą nedidelių matmenų tranšėją (žr. 4 paveikslą).  Tinklinės struktūros geotinklas , paviršius dengiamas plonu juodžemio sluoksniu ir apsėjamas. Rekomenduojama naudoti Hidrosėją.</w:t>
      </w:r>
    </w:p>
    <w:p>
      <w:pPr>
        <w:pStyle w:val="Paprtekstas"/>
        <w:widowControl/>
        <w:suppressAutoHyphens w:val="true"/>
        <w:bidi w:val="0"/>
        <w:spacing w:lineRule="auto" w:line="276"/>
        <w:rPr>
          <w:rFonts w:eastAsia="Times New Roman" w:cs="Times New Roman"/>
          <w:i w:val="false"/>
          <w:i w:val="false"/>
          <w:iCs w:val="false"/>
          <w:color w:val="auto"/>
          <w:kern w:val="0"/>
          <w:szCs w:val="24"/>
          <w:u w:val="none"/>
          <w:shd w:fill="auto" w:val="clear"/>
          <w:lang w:val="lt-LT" w:eastAsia="en-US" w:bidi="ar-SA"/>
        </w:rPr>
      </w:pPr>
      <w:r>
        <w:rPr>
          <w:rFonts w:eastAsia="Times New Roman" w:cs="Times New Roman"/>
          <w:i w:val="false"/>
          <w:iCs w:val="false"/>
          <w:color w:val="auto"/>
          <w:kern w:val="0"/>
          <w:szCs w:val="24"/>
          <w:u w:val="none"/>
          <w:shd w:fill="auto" w:val="clear"/>
          <w:lang w:val="lt-LT" w:eastAsia="en-US" w:bidi="ar-SA"/>
        </w:rPr>
      </w:r>
    </w:p>
    <w:p>
      <w:pPr>
        <w:pStyle w:val="Paprtekstas"/>
        <w:widowControl/>
        <w:suppressAutoHyphens w:val="true"/>
        <w:bidi w:val="0"/>
        <w:spacing w:lineRule="auto" w:line="276"/>
        <w:rPr>
          <w:color w:val="auto"/>
        </w:rPr>
      </w:pPr>
      <w:r>
        <w:rPr>
          <w:rFonts w:eastAsia="Times New Roman" w:cs="Times New Roman"/>
          <w:b/>
          <w:bCs/>
          <w:color w:val="000000"/>
          <w:kern w:val="0"/>
          <w:sz w:val="22"/>
          <w:szCs w:val="22"/>
          <w:shd w:fill="auto" w:val="clear"/>
          <w:lang w:val="lt-LT" w:eastAsia="en-US" w:bidi="ar-SA"/>
        </w:rPr>
        <w:t>3.3. Konstrukcinis drenažas</w:t>
      </w:r>
    </w:p>
    <w:p>
      <w:pPr>
        <w:pStyle w:val="Paprtekstas"/>
        <w:widowControl/>
        <w:suppressAutoHyphens w:val="true"/>
        <w:bidi w:val="0"/>
        <w:spacing w:lineRule="auto" w:line="276"/>
        <w:rPr>
          <w:color w:val="auto"/>
        </w:rPr>
      </w:pPr>
      <w:bookmarkStart w:id="31" w:name="_Toc166156960"/>
      <w:bookmarkStart w:id="32" w:name="_Toc121905978"/>
      <w:bookmarkStart w:id="33" w:name="_Toc96603521"/>
      <w:bookmarkStart w:id="34" w:name="_Toc71646878"/>
      <w:bookmarkStart w:id="35" w:name="_Toc478547119"/>
      <w:bookmarkStart w:id="36" w:name="_Toc473204228"/>
      <w:bookmarkStart w:id="37" w:name="_Toc472684386"/>
      <w:bookmarkStart w:id="38" w:name="_Toc472507963"/>
      <w:r>
        <w:rPr>
          <w:rFonts w:eastAsia="Times New Roman" w:cs="Times New Roman"/>
          <w:i/>
          <w:iCs/>
          <w:color w:val="000000"/>
          <w:kern w:val="0"/>
          <w:szCs w:val="24"/>
          <w:u w:val="single"/>
          <w:shd w:fill="auto" w:val="clear"/>
          <w:lang w:val="lt-LT" w:eastAsia="en-US" w:bidi="ar-SA"/>
        </w:rPr>
        <w:t>Įvadas</w:t>
      </w:r>
      <w:bookmarkEnd w:id="31"/>
      <w:bookmarkEnd w:id="32"/>
      <w:bookmarkEnd w:id="33"/>
      <w:bookmarkEnd w:id="34"/>
      <w:bookmarkEnd w:id="35"/>
      <w:bookmarkEnd w:id="36"/>
      <w:bookmarkEnd w:id="37"/>
      <w:bookmarkEnd w:id="38"/>
    </w:p>
    <w:p>
      <w:pPr>
        <w:pStyle w:val="Paprtekstas"/>
        <w:widowControl/>
        <w:suppressAutoHyphens w:val="true"/>
        <w:bidi w:val="0"/>
        <w:spacing w:lineRule="auto" w:line="276"/>
        <w:rPr>
          <w:color w:val="auto"/>
        </w:rPr>
      </w:pPr>
      <w:r>
        <w:rPr>
          <w:rFonts w:eastAsia="Times New Roman" w:cs="Times New Roman"/>
          <w:color w:val="000000"/>
          <w:kern w:val="0"/>
          <w:szCs w:val="24"/>
          <w:shd w:fill="auto" w:val="clear"/>
          <w:lang w:val="lt-LT" w:eastAsia="en-US" w:bidi="ar-SA"/>
        </w:rPr>
        <w:t>Šiame TS skyriuje pateikiami reikalavimai kelių konstrukcinio įrengimo darbams, šių darbų kontrolei ir priėmimui.</w:t>
      </w:r>
    </w:p>
    <w:p>
      <w:pPr>
        <w:pStyle w:val="Paprtekstas"/>
        <w:widowControl/>
        <w:suppressAutoHyphens w:val="true"/>
        <w:bidi w:val="0"/>
        <w:spacing w:lineRule="auto" w:line="276"/>
        <w:rPr>
          <w:color w:val="auto"/>
        </w:rPr>
      </w:pPr>
      <w:r>
        <w:rPr>
          <w:rFonts w:eastAsia="Times New Roman" w:cs="Times New Roman"/>
          <w:i/>
          <w:iCs/>
          <w:color w:val="000000"/>
          <w:kern w:val="0"/>
          <w:szCs w:val="24"/>
          <w:u w:val="single"/>
          <w:shd w:fill="auto" w:val="clear"/>
          <w:lang w:val="lt-LT" w:eastAsia="en-US" w:bidi="ar-SA"/>
        </w:rPr>
        <w:t>Išilgininiam</w:t>
      </w:r>
      <w:r>
        <w:rPr>
          <w:rFonts w:eastAsia="Times New Roman" w:cs="Times New Roman"/>
          <w:color w:val="000000"/>
          <w:kern w:val="0"/>
          <w:szCs w:val="24"/>
          <w:shd w:fill="auto" w:val="clear"/>
          <w:lang w:val="lt-LT" w:eastAsia="en-US" w:bidi="ar-SA"/>
        </w:rPr>
        <w:t xml:space="preserve"> drenažui naudojamas plastikiniai d≥113mm vidinio skersmens drenažo vamzdžiai su geotekstilės filtru paklojami ant 0,10 m storio žvirgždo skaldos 5/8. Drenažas užpilamas 11/16 frakcijos žvirgždo skalda. Drenažas įrengiamas prieš sankasos įrengimą.</w:t>
      </w:r>
    </w:p>
    <w:p>
      <w:pPr>
        <w:pStyle w:val="Paprtekstas"/>
        <w:widowControl/>
        <w:suppressAutoHyphens w:val="true"/>
        <w:bidi w:val="0"/>
        <w:spacing w:lineRule="auto" w:line="276"/>
        <w:rPr>
          <w:color w:val="auto"/>
        </w:rPr>
      </w:pPr>
      <w:r>
        <w:rPr>
          <w:rFonts w:eastAsia="Times New Roman" w:cs="Times New Roman"/>
          <w:color w:val="000000"/>
          <w:kern w:val="0"/>
          <w:szCs w:val="24"/>
          <w:shd w:fill="auto" w:val="clear"/>
          <w:lang w:val="lt-LT" w:eastAsia="en-US" w:bidi="ar-SA"/>
        </w:rPr>
        <w:t>Surinkto vandens nuleidimui bei drenažo sistemos priežiūrai vamzdžiai pajungiami į Vandens ir nuotekų šalinimo dalyje suprojektuotus lietaus nuotekų sistemos apžiūros šulinius.</w:t>
      </w:r>
    </w:p>
    <w:p>
      <w:pPr>
        <w:pStyle w:val="Paprtekstas"/>
        <w:widowControl/>
        <w:suppressAutoHyphens w:val="true"/>
        <w:bidi w:val="0"/>
        <w:spacing w:lineRule="auto" w:line="276"/>
        <w:rPr>
          <w:color w:val="auto"/>
        </w:rPr>
      </w:pPr>
      <w:bookmarkStart w:id="39" w:name="_Toc166156961"/>
      <w:bookmarkStart w:id="40" w:name="_Toc121905979"/>
      <w:bookmarkStart w:id="41" w:name="_Toc96603522"/>
      <w:r>
        <w:rPr>
          <w:rFonts w:eastAsia="Times New Roman" w:cs="Times New Roman"/>
          <w:b w:val="false"/>
          <w:bCs w:val="false"/>
          <w:i/>
          <w:iCs/>
          <w:color w:val="000000"/>
          <w:kern w:val="0"/>
          <w:szCs w:val="24"/>
          <w:u w:val="single"/>
          <w:shd w:fill="auto" w:val="clear"/>
          <w:lang w:val="lt-LT" w:eastAsia="en-US" w:bidi="ar-SA"/>
        </w:rPr>
        <w:t>Medžiagos</w:t>
      </w:r>
      <w:bookmarkEnd w:id="39"/>
      <w:bookmarkEnd w:id="40"/>
      <w:bookmarkEnd w:id="41"/>
    </w:p>
    <w:p>
      <w:pPr>
        <w:pStyle w:val="3LVL"/>
        <w:keepLines/>
        <w:numPr>
          <w:ilvl w:val="0"/>
          <w:numId w:val="0"/>
        </w:numPr>
        <w:ind w:hanging="0" w:left="360"/>
        <w:outlineLvl w:val="2"/>
        <w:rPr>
          <w:color w:val="auto"/>
        </w:rPr>
      </w:pPr>
      <w:r>
        <w:rPr>
          <w:b w:val="false"/>
          <w:bCs w:val="false"/>
          <w:i/>
          <w:iCs/>
          <w:color w:val="auto"/>
          <w:u w:val="single"/>
        </w:rPr>
        <w:t>Plastikiniai (PP, HDPE, PVC) vamzdžiai</w:t>
      </w:r>
    </w:p>
    <w:p>
      <w:pPr>
        <w:pStyle w:val="Paprtekstas"/>
        <w:rPr>
          <w:color w:val="auto"/>
        </w:rPr>
      </w:pPr>
      <w:bookmarkStart w:id="42" w:name="_Toc166156964"/>
      <w:bookmarkStart w:id="43" w:name="_Toc121905982"/>
      <w:bookmarkStart w:id="44" w:name="_Toc96603525"/>
      <w:bookmarkEnd w:id="42"/>
      <w:bookmarkEnd w:id="43"/>
      <w:bookmarkEnd w:id="44"/>
      <w:r>
        <w:rPr>
          <w:color w:val="auto"/>
        </w:rPr>
        <w:t>Vamzdžiai naudojami drenažo sistemose turi būti ne prastesnių savybių nei nurodyta žemiau esančioje lentelėje:</w:t>
      </w:r>
    </w:p>
    <w:tbl>
      <w:tblPr>
        <w:tblW w:w="5000" w:type="pct"/>
        <w:jc w:val="left"/>
        <w:tblInd w:w="113" w:type="dxa"/>
        <w:tblLayout w:type="fixed"/>
        <w:tblCellMar>
          <w:top w:w="0" w:type="dxa"/>
          <w:left w:w="108" w:type="dxa"/>
          <w:bottom w:w="0" w:type="dxa"/>
          <w:right w:w="108" w:type="dxa"/>
        </w:tblCellMar>
        <w:tblLook w:firstRow="1" w:noVBand="1" w:lastRow="0" w:firstColumn="1" w:lastColumn="0" w:noHBand="0" w:val="04a0"/>
      </w:tblPr>
      <w:tblGrid>
        <w:gridCol w:w="5612"/>
        <w:gridCol w:w="4593"/>
      </w:tblGrid>
      <w:tr>
        <w:trPr/>
        <w:tc>
          <w:tcPr>
            <w:tcW w:w="5612" w:type="dxa"/>
            <w:tcBorders>
              <w:top w:val="single" w:sz="4" w:space="0" w:color="000000"/>
              <w:left w:val="single" w:sz="4" w:space="0" w:color="000000"/>
              <w:bottom w:val="single" w:sz="4" w:space="0" w:color="000000"/>
              <w:right w:val="single" w:sz="4" w:space="0" w:color="000000"/>
            </w:tcBorders>
            <w:vAlign w:val="center"/>
          </w:tcPr>
          <w:p>
            <w:pPr>
              <w:pStyle w:val="Paprtekstas"/>
              <w:spacing w:before="0" w:after="120"/>
              <w:ind w:hanging="0"/>
              <w:rPr>
                <w:color w:val="auto"/>
              </w:rPr>
            </w:pPr>
            <w:r>
              <w:rPr>
                <w:color w:val="auto"/>
              </w:rPr>
              <w:t>Esminės savybės</w:t>
            </w:r>
          </w:p>
        </w:tc>
        <w:tc>
          <w:tcPr>
            <w:tcW w:w="4593" w:type="dxa"/>
            <w:tcBorders>
              <w:top w:val="single" w:sz="4" w:space="0" w:color="000000"/>
              <w:left w:val="single" w:sz="4" w:space="0" w:color="000000"/>
              <w:bottom w:val="single" w:sz="4" w:space="0" w:color="000000"/>
              <w:right w:val="single" w:sz="4" w:space="0" w:color="000000"/>
            </w:tcBorders>
            <w:vAlign w:val="center"/>
          </w:tcPr>
          <w:p>
            <w:pPr>
              <w:pStyle w:val="Paprtekstas"/>
              <w:spacing w:before="0" w:after="120"/>
              <w:ind w:hanging="0"/>
              <w:rPr>
                <w:color w:val="auto"/>
              </w:rPr>
            </w:pPr>
            <w:r>
              <w:rPr>
                <w:color w:val="auto"/>
              </w:rPr>
              <w:t>Eksploatacinės savybės</w:t>
            </w:r>
          </w:p>
        </w:tc>
      </w:tr>
      <w:tr>
        <w:trPr/>
        <w:tc>
          <w:tcPr>
            <w:tcW w:w="5612" w:type="dxa"/>
            <w:tcBorders>
              <w:top w:val="single" w:sz="4" w:space="0" w:color="000000"/>
              <w:left w:val="single" w:sz="4" w:space="0" w:color="000000"/>
              <w:bottom w:val="single" w:sz="4" w:space="0" w:color="000000"/>
              <w:right w:val="single" w:sz="4" w:space="0" w:color="000000"/>
            </w:tcBorders>
          </w:tcPr>
          <w:p>
            <w:pPr>
              <w:pStyle w:val="Paprtekstas"/>
              <w:spacing w:before="0" w:after="120"/>
              <w:ind w:hanging="0"/>
              <w:rPr>
                <w:color w:val="auto"/>
              </w:rPr>
            </w:pPr>
            <w:r>
              <w:rPr>
                <w:color w:val="auto"/>
              </w:rPr>
              <w:t>Vamzdžio tipas</w:t>
            </w:r>
          </w:p>
        </w:tc>
        <w:tc>
          <w:tcPr>
            <w:tcW w:w="4593" w:type="dxa"/>
            <w:tcBorders>
              <w:top w:val="single" w:sz="4" w:space="0" w:color="000000"/>
              <w:left w:val="single" w:sz="4" w:space="0" w:color="000000"/>
              <w:bottom w:val="single" w:sz="4" w:space="0" w:color="000000"/>
              <w:right w:val="single" w:sz="4" w:space="0" w:color="000000"/>
            </w:tcBorders>
            <w:vAlign w:val="center"/>
          </w:tcPr>
          <w:p>
            <w:pPr>
              <w:pStyle w:val="Paprtekstas"/>
              <w:spacing w:before="0" w:after="120"/>
              <w:ind w:hanging="0"/>
              <w:jc w:val="left"/>
              <w:rPr>
                <w:color w:val="auto"/>
              </w:rPr>
            </w:pPr>
            <w:r>
              <w:rPr>
                <w:color w:val="auto"/>
              </w:rPr>
              <w:t>Perforuotas, gofruotas arba išorė gofruota, o vidus lygus.</w:t>
            </w:r>
          </w:p>
        </w:tc>
      </w:tr>
      <w:tr>
        <w:trPr>
          <w:trHeight w:val="283" w:hRule="atLeast"/>
        </w:trPr>
        <w:tc>
          <w:tcPr>
            <w:tcW w:w="5612" w:type="dxa"/>
            <w:tcBorders>
              <w:top w:val="single" w:sz="4" w:space="0" w:color="000000"/>
              <w:left w:val="single" w:sz="4" w:space="0" w:color="000000"/>
              <w:bottom w:val="single" w:sz="4" w:space="0" w:color="000000"/>
              <w:right w:val="single" w:sz="4" w:space="0" w:color="000000"/>
            </w:tcBorders>
            <w:vAlign w:val="center"/>
          </w:tcPr>
          <w:p>
            <w:pPr>
              <w:pStyle w:val="Paprtekstas"/>
              <w:spacing w:before="0" w:after="120"/>
              <w:ind w:hanging="0"/>
              <w:rPr>
                <w:color w:val="auto"/>
              </w:rPr>
            </w:pPr>
            <w:r>
              <w:rPr>
                <w:color w:val="auto"/>
              </w:rPr>
              <w:t>Žaliava</w:t>
            </w:r>
          </w:p>
        </w:tc>
        <w:tc>
          <w:tcPr>
            <w:tcW w:w="4593" w:type="dxa"/>
            <w:tcBorders>
              <w:top w:val="single" w:sz="4" w:space="0" w:color="000000"/>
              <w:left w:val="single" w:sz="4" w:space="0" w:color="000000"/>
              <w:bottom w:val="single" w:sz="4" w:space="0" w:color="000000"/>
              <w:right w:val="single" w:sz="4" w:space="0" w:color="000000"/>
            </w:tcBorders>
            <w:vAlign w:val="center"/>
          </w:tcPr>
          <w:p>
            <w:pPr>
              <w:pStyle w:val="Paprtekstas"/>
              <w:spacing w:before="0" w:after="120"/>
              <w:ind w:hanging="0"/>
              <w:rPr>
                <w:color w:val="auto"/>
              </w:rPr>
            </w:pPr>
            <w:r>
              <w:rPr>
                <w:rFonts w:eastAsia="Calibri"/>
                <w:color w:val="auto"/>
              </w:rPr>
              <w:t>PVC, PP, HDPE</w:t>
            </w:r>
          </w:p>
        </w:tc>
      </w:tr>
      <w:tr>
        <w:trPr>
          <w:trHeight w:val="283" w:hRule="atLeast"/>
        </w:trPr>
        <w:tc>
          <w:tcPr>
            <w:tcW w:w="5612" w:type="dxa"/>
            <w:tcBorders>
              <w:top w:val="single" w:sz="4" w:space="0" w:color="000000"/>
              <w:left w:val="single" w:sz="4" w:space="0" w:color="000000"/>
              <w:bottom w:val="single" w:sz="4" w:space="0" w:color="000000"/>
              <w:right w:val="single" w:sz="4" w:space="0" w:color="000000"/>
            </w:tcBorders>
            <w:vAlign w:val="center"/>
          </w:tcPr>
          <w:p>
            <w:pPr>
              <w:pStyle w:val="Paprtekstas"/>
              <w:spacing w:before="0" w:after="120"/>
              <w:ind w:hanging="0"/>
              <w:rPr>
                <w:color w:val="auto"/>
              </w:rPr>
            </w:pPr>
            <w:r>
              <w:rPr>
                <w:color w:val="auto"/>
              </w:rPr>
              <w:t>Vidinis diametras</w:t>
            </w:r>
          </w:p>
        </w:tc>
        <w:tc>
          <w:tcPr>
            <w:tcW w:w="4593" w:type="dxa"/>
            <w:tcBorders>
              <w:top w:val="single" w:sz="4" w:space="0" w:color="000000"/>
              <w:left w:val="single" w:sz="4" w:space="0" w:color="000000"/>
              <w:bottom w:val="single" w:sz="4" w:space="0" w:color="000000"/>
              <w:right w:val="single" w:sz="4" w:space="0" w:color="000000"/>
            </w:tcBorders>
            <w:vAlign w:val="center"/>
          </w:tcPr>
          <w:p>
            <w:pPr>
              <w:pStyle w:val="Paprtekstas"/>
              <w:spacing w:before="0" w:after="120"/>
              <w:ind w:hanging="0"/>
              <w:rPr>
                <w:color w:val="auto"/>
              </w:rPr>
            </w:pPr>
            <w:r>
              <w:rPr>
                <w:rFonts w:eastAsia="Calibri"/>
                <w:color w:val="auto"/>
                <w:szCs w:val="20"/>
              </w:rPr>
              <w:t>≥</w:t>
            </w:r>
            <w:r>
              <w:rPr>
                <w:color w:val="auto"/>
              </w:rPr>
              <w:t xml:space="preserve"> </w:t>
            </w:r>
            <w:r>
              <w:rPr>
                <w:color w:val="auto"/>
              </w:rPr>
              <w:t>113mm</w:t>
            </w:r>
          </w:p>
        </w:tc>
      </w:tr>
      <w:tr>
        <w:trPr>
          <w:trHeight w:val="283" w:hRule="atLeast"/>
        </w:trPr>
        <w:tc>
          <w:tcPr>
            <w:tcW w:w="5612" w:type="dxa"/>
            <w:tcBorders>
              <w:top w:val="single" w:sz="4" w:space="0" w:color="000000"/>
              <w:left w:val="single" w:sz="4" w:space="0" w:color="000000"/>
              <w:bottom w:val="single" w:sz="4" w:space="0" w:color="000000"/>
              <w:right w:val="single" w:sz="4" w:space="0" w:color="000000"/>
            </w:tcBorders>
            <w:vAlign w:val="center"/>
          </w:tcPr>
          <w:p>
            <w:pPr>
              <w:pStyle w:val="Paprtekstas"/>
              <w:spacing w:before="0" w:after="120"/>
              <w:ind w:hanging="0"/>
              <w:rPr>
                <w:color w:val="auto"/>
              </w:rPr>
            </w:pPr>
            <w:r>
              <w:rPr>
                <w:color w:val="auto"/>
              </w:rPr>
              <w:t>Žiedo standumo klasė</w:t>
            </w:r>
          </w:p>
        </w:tc>
        <w:tc>
          <w:tcPr>
            <w:tcW w:w="4593" w:type="dxa"/>
            <w:tcBorders>
              <w:top w:val="single" w:sz="4" w:space="0" w:color="000000"/>
              <w:left w:val="single" w:sz="4" w:space="0" w:color="000000"/>
              <w:bottom w:val="single" w:sz="4" w:space="0" w:color="000000"/>
              <w:right w:val="single" w:sz="4" w:space="0" w:color="000000"/>
            </w:tcBorders>
            <w:vAlign w:val="center"/>
          </w:tcPr>
          <w:p>
            <w:pPr>
              <w:pStyle w:val="Paprtekstas"/>
              <w:spacing w:before="0" w:after="120"/>
              <w:ind w:hanging="0"/>
              <w:rPr>
                <w:color w:val="auto"/>
              </w:rPr>
            </w:pPr>
            <w:r>
              <w:rPr>
                <w:rFonts w:eastAsia="Calibri"/>
                <w:color w:val="auto"/>
                <w:szCs w:val="20"/>
              </w:rPr>
              <w:t xml:space="preserve">≥ </w:t>
            </w:r>
            <w:r>
              <w:rPr>
                <w:rFonts w:eastAsia="Calibri"/>
                <w:color w:val="auto"/>
              </w:rPr>
              <w:t>SN4</w:t>
            </w:r>
          </w:p>
        </w:tc>
      </w:tr>
      <w:tr>
        <w:trPr>
          <w:trHeight w:val="283" w:hRule="atLeast"/>
        </w:trPr>
        <w:tc>
          <w:tcPr>
            <w:tcW w:w="5612" w:type="dxa"/>
            <w:tcBorders>
              <w:top w:val="single" w:sz="4" w:space="0" w:color="000000"/>
              <w:left w:val="single" w:sz="4" w:space="0" w:color="000000"/>
              <w:bottom w:val="single" w:sz="4" w:space="0" w:color="000000"/>
              <w:right w:val="single" w:sz="4" w:space="0" w:color="000000"/>
            </w:tcBorders>
            <w:vAlign w:val="center"/>
          </w:tcPr>
          <w:p>
            <w:pPr>
              <w:pStyle w:val="Paprtekstas"/>
              <w:spacing w:before="0" w:after="120"/>
              <w:ind w:hanging="0"/>
              <w:rPr>
                <w:color w:val="auto"/>
              </w:rPr>
            </w:pPr>
            <w:r>
              <w:rPr>
                <w:color w:val="auto"/>
              </w:rPr>
              <w:t>Filtro tipas gamykliniam vamzdžio apvyniojimui</w:t>
            </w:r>
          </w:p>
        </w:tc>
        <w:tc>
          <w:tcPr>
            <w:tcW w:w="4593" w:type="dxa"/>
            <w:tcBorders>
              <w:top w:val="single" w:sz="4" w:space="0" w:color="000000"/>
              <w:left w:val="single" w:sz="4" w:space="0" w:color="000000"/>
              <w:bottom w:val="single" w:sz="4" w:space="0" w:color="000000"/>
              <w:right w:val="single" w:sz="4" w:space="0" w:color="000000"/>
            </w:tcBorders>
            <w:vAlign w:val="center"/>
          </w:tcPr>
          <w:p>
            <w:pPr>
              <w:pStyle w:val="Paprtekstas"/>
              <w:spacing w:before="0" w:after="120"/>
              <w:ind w:hanging="0"/>
              <w:rPr>
                <w:color w:val="auto"/>
              </w:rPr>
            </w:pPr>
            <w:r>
              <w:rPr>
                <w:rFonts w:eastAsia="Calibri"/>
                <w:color w:val="auto"/>
              </w:rPr>
              <w:t>Geotekstilė</w:t>
            </w:r>
          </w:p>
        </w:tc>
      </w:tr>
    </w:tbl>
    <w:p>
      <w:pPr>
        <w:pStyle w:val="3LVL"/>
        <w:keepLines/>
        <w:numPr>
          <w:ilvl w:val="0"/>
          <w:numId w:val="0"/>
        </w:numPr>
        <w:ind w:hanging="0" w:left="360"/>
        <w:outlineLvl w:val="2"/>
        <w:rPr>
          <w:color w:val="auto"/>
        </w:rPr>
      </w:pPr>
      <w:bookmarkStart w:id="45" w:name="_Toc71880618"/>
      <w:bookmarkStart w:id="46" w:name="_Toc52806057"/>
      <w:bookmarkStart w:id="47" w:name="_Toc520294607"/>
      <w:bookmarkStart w:id="48" w:name="_Toc414533481"/>
      <w:bookmarkStart w:id="49" w:name="_Toc380156307"/>
      <w:r>
        <w:rPr>
          <w:b w:val="false"/>
          <w:bCs w:val="false"/>
          <w:color w:val="auto"/>
          <w:u w:val="single"/>
        </w:rPr>
        <w:t xml:space="preserve">Geosintetiniai gaminiai </w:t>
      </w:r>
      <w:bookmarkEnd w:id="47"/>
      <w:bookmarkEnd w:id="48"/>
      <w:bookmarkEnd w:id="49"/>
      <w:r>
        <w:rPr>
          <w:b w:val="false"/>
          <w:bCs w:val="false"/>
          <w:color w:val="auto"/>
          <w:u w:val="single"/>
        </w:rPr>
        <w:t>drenažo tranšėjai</w:t>
      </w:r>
      <w:bookmarkEnd w:id="45"/>
      <w:bookmarkEnd w:id="46"/>
    </w:p>
    <w:p>
      <w:pPr>
        <w:pStyle w:val="Paprtekstas"/>
        <w:rPr>
          <w:color w:val="auto"/>
        </w:rPr>
      </w:pPr>
      <w:r>
        <w:rPr>
          <w:color w:val="auto"/>
        </w:rPr>
        <w:t>Geotekstilė drenažo tranšėjoje gruntams atskirti (arba analogas):</w:t>
      </w:r>
    </w:p>
    <w:tbl>
      <w:tblPr>
        <w:tblW w:w="9350"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5201"/>
        <w:gridCol w:w="4149"/>
      </w:tblGrid>
      <w:tr>
        <w:trPr>
          <w:trHeight w:val="20" w:hRule="atLeast"/>
        </w:trPr>
        <w:tc>
          <w:tcPr>
            <w:tcW w:w="5201" w:type="dxa"/>
            <w:tcBorders>
              <w:top w:val="single" w:sz="4" w:space="0" w:color="000000"/>
              <w:left w:val="single" w:sz="4" w:space="0" w:color="000000"/>
              <w:bottom w:val="single" w:sz="4" w:space="0" w:color="000000"/>
              <w:right w:val="single" w:sz="4" w:space="0" w:color="000000"/>
            </w:tcBorders>
            <w:vAlign w:val="center"/>
          </w:tcPr>
          <w:p>
            <w:pPr>
              <w:pStyle w:val="Paprtekstas"/>
              <w:spacing w:lineRule="auto" w:line="240" w:before="0" w:after="120"/>
              <w:ind w:hanging="0"/>
              <w:jc w:val="center"/>
              <w:rPr>
                <w:color w:val="auto"/>
              </w:rPr>
            </w:pPr>
            <w:r>
              <w:rPr>
                <w:rFonts w:cs="Arial"/>
                <w:b/>
                <w:bCs/>
                <w:color w:val="auto"/>
                <w:szCs w:val="20"/>
              </w:rPr>
              <w:t xml:space="preserve">                                                                </w:t>
            </w:r>
            <w:r>
              <w:rPr>
                <w:rFonts w:cs="Arial"/>
                <w:b/>
                <w:bCs/>
                <w:color w:val="auto"/>
                <w:szCs w:val="20"/>
              </w:rPr>
              <w:t>Savybės                                                        Funkcijos</w:t>
            </w:r>
          </w:p>
        </w:tc>
        <w:tc>
          <w:tcPr>
            <w:tcW w:w="4149" w:type="dxa"/>
            <w:tcBorders>
              <w:top w:val="single" w:sz="4" w:space="0" w:color="000000"/>
              <w:left w:val="single" w:sz="4" w:space="0" w:color="000000"/>
              <w:bottom w:val="single" w:sz="4" w:space="0" w:color="000000"/>
              <w:right w:val="single" w:sz="4" w:space="0" w:color="000000"/>
            </w:tcBorders>
            <w:vAlign w:val="center"/>
          </w:tcPr>
          <w:p>
            <w:pPr>
              <w:pStyle w:val="Paprtekstas"/>
              <w:spacing w:lineRule="auto" w:line="240" w:before="0" w:after="120"/>
              <w:ind w:hanging="0"/>
              <w:jc w:val="center"/>
              <w:rPr>
                <w:color w:val="auto"/>
              </w:rPr>
            </w:pPr>
            <w:r>
              <w:rPr>
                <w:rFonts w:cs="Arial"/>
                <w:b/>
                <w:bCs/>
                <w:color w:val="auto"/>
                <w:szCs w:val="20"/>
              </w:rPr>
              <w:t>Atskyrimas ir filtravimas (minimalios/maksimalios reikšmės)</w:t>
            </w:r>
          </w:p>
        </w:tc>
      </w:tr>
      <w:tr>
        <w:trPr>
          <w:trHeight w:val="20" w:hRule="atLeast"/>
        </w:trPr>
        <w:tc>
          <w:tcPr>
            <w:tcW w:w="5201" w:type="dxa"/>
            <w:tcBorders>
              <w:top w:val="single" w:sz="4" w:space="0" w:color="000000"/>
              <w:left w:val="single" w:sz="4" w:space="0" w:color="000000"/>
              <w:bottom w:val="single" w:sz="4" w:space="0" w:color="000000"/>
              <w:right w:val="single" w:sz="4" w:space="0" w:color="000000"/>
            </w:tcBorders>
          </w:tcPr>
          <w:p>
            <w:pPr>
              <w:pStyle w:val="Paprtekstas"/>
              <w:spacing w:lineRule="auto" w:line="240" w:before="0" w:after="120"/>
              <w:ind w:hanging="0"/>
              <w:jc w:val="center"/>
              <w:rPr>
                <w:color w:val="auto"/>
              </w:rPr>
            </w:pPr>
            <w:r>
              <w:rPr>
                <w:rFonts w:cs="Arial"/>
                <w:color w:val="auto"/>
                <w:szCs w:val="20"/>
              </w:rPr>
              <w:t>Plotinis tankis</w:t>
            </w:r>
          </w:p>
        </w:tc>
        <w:tc>
          <w:tcPr>
            <w:tcW w:w="4149" w:type="dxa"/>
            <w:tcBorders>
              <w:top w:val="single" w:sz="4" w:space="0" w:color="000000"/>
              <w:left w:val="single" w:sz="4" w:space="0" w:color="000000"/>
              <w:bottom w:val="single" w:sz="4" w:space="0" w:color="000000"/>
              <w:right w:val="single" w:sz="4" w:space="0" w:color="000000"/>
            </w:tcBorders>
            <w:vAlign w:val="center"/>
          </w:tcPr>
          <w:p>
            <w:pPr>
              <w:pStyle w:val="Paprtekstas"/>
              <w:spacing w:lineRule="auto" w:line="240" w:before="0" w:after="120"/>
              <w:ind w:hanging="0"/>
              <w:jc w:val="center"/>
              <w:rPr>
                <w:color w:val="auto"/>
              </w:rPr>
            </w:pPr>
            <w:r>
              <w:rPr>
                <w:rFonts w:cs="Arial"/>
                <w:color w:val="auto"/>
                <w:szCs w:val="20"/>
              </w:rPr>
              <w:t xml:space="preserve">≥ </w:t>
            </w:r>
            <w:r>
              <w:rPr>
                <w:rFonts w:cs="Arial"/>
                <w:color w:val="auto"/>
                <w:szCs w:val="20"/>
              </w:rPr>
              <w:t>150 g/m</w:t>
            </w:r>
            <w:r>
              <w:rPr>
                <w:rFonts w:cs="Arial"/>
                <w:color w:val="auto"/>
                <w:szCs w:val="20"/>
                <w:vertAlign w:val="superscript"/>
              </w:rPr>
              <w:t>2</w:t>
            </w:r>
          </w:p>
        </w:tc>
      </w:tr>
      <w:tr>
        <w:trPr>
          <w:trHeight w:val="20" w:hRule="atLeast"/>
        </w:trPr>
        <w:tc>
          <w:tcPr>
            <w:tcW w:w="5201" w:type="dxa"/>
            <w:tcBorders>
              <w:top w:val="single" w:sz="4" w:space="0" w:color="000000"/>
              <w:left w:val="single" w:sz="4" w:space="0" w:color="000000"/>
              <w:bottom w:val="single" w:sz="4" w:space="0" w:color="000000"/>
              <w:right w:val="single" w:sz="4" w:space="0" w:color="000000"/>
            </w:tcBorders>
          </w:tcPr>
          <w:p>
            <w:pPr>
              <w:pStyle w:val="Paprtekstas"/>
              <w:spacing w:lineRule="auto" w:line="240" w:before="0" w:after="120"/>
              <w:ind w:hanging="0"/>
              <w:jc w:val="center"/>
              <w:rPr>
                <w:color w:val="auto"/>
              </w:rPr>
            </w:pPr>
            <w:r>
              <w:rPr>
                <w:rFonts w:cs="Arial"/>
                <w:color w:val="auto"/>
                <w:szCs w:val="20"/>
              </w:rPr>
              <w:t>Storis</w:t>
            </w:r>
          </w:p>
        </w:tc>
        <w:tc>
          <w:tcPr>
            <w:tcW w:w="4149" w:type="dxa"/>
            <w:tcBorders>
              <w:top w:val="single" w:sz="4" w:space="0" w:color="000000"/>
              <w:left w:val="single" w:sz="4" w:space="0" w:color="000000"/>
              <w:bottom w:val="single" w:sz="4" w:space="0" w:color="000000"/>
              <w:right w:val="single" w:sz="4" w:space="0" w:color="000000"/>
            </w:tcBorders>
            <w:vAlign w:val="center"/>
          </w:tcPr>
          <w:p>
            <w:pPr>
              <w:pStyle w:val="Paprtekstas"/>
              <w:spacing w:lineRule="auto" w:line="240" w:before="0" w:after="120"/>
              <w:ind w:hanging="0"/>
              <w:jc w:val="center"/>
              <w:rPr>
                <w:color w:val="auto"/>
              </w:rPr>
            </w:pPr>
            <w:r>
              <w:rPr>
                <w:rFonts w:cs="Arial"/>
                <w:color w:val="auto"/>
                <w:szCs w:val="20"/>
              </w:rPr>
              <w:t>-</w:t>
            </w:r>
          </w:p>
        </w:tc>
      </w:tr>
      <w:tr>
        <w:trPr>
          <w:trHeight w:val="20" w:hRule="atLeast"/>
        </w:trPr>
        <w:tc>
          <w:tcPr>
            <w:tcW w:w="5201" w:type="dxa"/>
            <w:tcBorders>
              <w:top w:val="single" w:sz="4" w:space="0" w:color="000000"/>
              <w:left w:val="single" w:sz="4" w:space="0" w:color="000000"/>
              <w:bottom w:val="single" w:sz="4" w:space="0" w:color="000000"/>
              <w:right w:val="single" w:sz="4" w:space="0" w:color="000000"/>
            </w:tcBorders>
          </w:tcPr>
          <w:p>
            <w:pPr>
              <w:pStyle w:val="Paprtekstas"/>
              <w:spacing w:lineRule="auto" w:line="240" w:before="0" w:after="120"/>
              <w:ind w:hanging="0"/>
              <w:jc w:val="center"/>
              <w:rPr>
                <w:color w:val="auto"/>
              </w:rPr>
            </w:pPr>
            <w:r>
              <w:rPr>
                <w:rFonts w:cs="Arial"/>
                <w:color w:val="auto"/>
                <w:szCs w:val="20"/>
              </w:rPr>
              <w:t>Atsparumas statiniam pradūrimui</w:t>
            </w:r>
          </w:p>
        </w:tc>
        <w:tc>
          <w:tcPr>
            <w:tcW w:w="4149" w:type="dxa"/>
            <w:tcBorders>
              <w:top w:val="single" w:sz="4" w:space="0" w:color="000000"/>
              <w:left w:val="single" w:sz="4" w:space="0" w:color="000000"/>
              <w:bottom w:val="single" w:sz="4" w:space="0" w:color="000000"/>
              <w:right w:val="single" w:sz="4" w:space="0" w:color="000000"/>
            </w:tcBorders>
            <w:vAlign w:val="center"/>
          </w:tcPr>
          <w:p>
            <w:pPr>
              <w:pStyle w:val="Paprtekstas"/>
              <w:spacing w:lineRule="auto" w:line="240" w:before="0" w:after="120"/>
              <w:ind w:hanging="0"/>
              <w:jc w:val="center"/>
              <w:rPr>
                <w:color w:val="auto"/>
              </w:rPr>
            </w:pPr>
            <w:r>
              <w:rPr>
                <w:rFonts w:cs="Arial"/>
                <w:color w:val="auto"/>
                <w:szCs w:val="20"/>
              </w:rPr>
              <w:t>GRK 3</w:t>
            </w:r>
          </w:p>
        </w:tc>
      </w:tr>
      <w:tr>
        <w:trPr>
          <w:trHeight w:val="20" w:hRule="atLeast"/>
        </w:trPr>
        <w:tc>
          <w:tcPr>
            <w:tcW w:w="5201" w:type="dxa"/>
            <w:tcBorders>
              <w:top w:val="single" w:sz="4" w:space="0" w:color="000000"/>
              <w:left w:val="single" w:sz="4" w:space="0" w:color="000000"/>
              <w:bottom w:val="single" w:sz="4" w:space="0" w:color="000000"/>
              <w:right w:val="single" w:sz="4" w:space="0" w:color="000000"/>
            </w:tcBorders>
          </w:tcPr>
          <w:p>
            <w:pPr>
              <w:pStyle w:val="Paprtekstas"/>
              <w:spacing w:lineRule="auto" w:line="240" w:before="0" w:after="120"/>
              <w:ind w:hanging="0"/>
              <w:jc w:val="center"/>
              <w:rPr>
                <w:color w:val="auto"/>
              </w:rPr>
            </w:pPr>
            <w:r>
              <w:rPr>
                <w:rFonts w:cs="Arial"/>
                <w:color w:val="auto"/>
                <w:szCs w:val="20"/>
              </w:rPr>
              <w:t>Stipris tempiant abiem kryptimis</w:t>
            </w:r>
          </w:p>
        </w:tc>
        <w:tc>
          <w:tcPr>
            <w:tcW w:w="4149" w:type="dxa"/>
            <w:tcBorders>
              <w:top w:val="single" w:sz="4" w:space="0" w:color="000000"/>
              <w:left w:val="single" w:sz="4" w:space="0" w:color="000000"/>
              <w:bottom w:val="single" w:sz="4" w:space="0" w:color="000000"/>
              <w:right w:val="single" w:sz="4" w:space="0" w:color="000000"/>
            </w:tcBorders>
            <w:vAlign w:val="center"/>
          </w:tcPr>
          <w:p>
            <w:pPr>
              <w:pStyle w:val="Paprtekstas"/>
              <w:spacing w:lineRule="auto" w:line="240" w:before="0" w:after="120"/>
              <w:ind w:hanging="0"/>
              <w:jc w:val="center"/>
              <w:rPr>
                <w:color w:val="auto"/>
              </w:rPr>
            </w:pPr>
            <w:r>
              <w:rPr>
                <w:rFonts w:cs="Arial"/>
                <w:color w:val="auto"/>
                <w:szCs w:val="20"/>
              </w:rPr>
              <w:t>F</w:t>
            </w:r>
            <w:r>
              <w:rPr>
                <w:rFonts w:cs="Arial"/>
                <w:color w:val="auto"/>
                <w:szCs w:val="20"/>
                <w:vertAlign w:val="subscript"/>
              </w:rPr>
              <w:t xml:space="preserve">k,5% </w:t>
            </w:r>
            <w:r>
              <w:rPr>
                <w:rFonts w:cs="Arial"/>
                <w:color w:val="auto"/>
                <w:szCs w:val="20"/>
              </w:rPr>
              <w:t>≥ 11 kN/m</w:t>
            </w:r>
          </w:p>
        </w:tc>
      </w:tr>
      <w:tr>
        <w:trPr>
          <w:trHeight w:val="20" w:hRule="atLeast"/>
        </w:trPr>
        <w:tc>
          <w:tcPr>
            <w:tcW w:w="5201" w:type="dxa"/>
            <w:tcBorders>
              <w:top w:val="single" w:sz="4" w:space="0" w:color="000000"/>
              <w:left w:val="single" w:sz="4" w:space="0" w:color="000000"/>
              <w:bottom w:val="single" w:sz="4" w:space="0" w:color="000000"/>
              <w:right w:val="single" w:sz="4" w:space="0" w:color="000000"/>
            </w:tcBorders>
          </w:tcPr>
          <w:p>
            <w:pPr>
              <w:pStyle w:val="Paprtekstas"/>
              <w:spacing w:lineRule="auto" w:line="240" w:before="0" w:after="120"/>
              <w:ind w:hanging="0"/>
              <w:jc w:val="center"/>
              <w:rPr>
                <w:color w:val="auto"/>
              </w:rPr>
            </w:pPr>
            <w:r>
              <w:rPr>
                <w:rFonts w:cs="Arial"/>
                <w:color w:val="auto"/>
                <w:szCs w:val="20"/>
              </w:rPr>
              <w:t>Pailgėjimas esant didžiausiai apkrovai</w:t>
            </w:r>
          </w:p>
        </w:tc>
        <w:tc>
          <w:tcPr>
            <w:tcW w:w="4149" w:type="dxa"/>
            <w:tcBorders>
              <w:top w:val="single" w:sz="4" w:space="0" w:color="000000"/>
              <w:left w:val="single" w:sz="4" w:space="0" w:color="000000"/>
              <w:bottom w:val="single" w:sz="4" w:space="0" w:color="000000"/>
              <w:right w:val="single" w:sz="4" w:space="0" w:color="000000"/>
            </w:tcBorders>
            <w:vAlign w:val="center"/>
          </w:tcPr>
          <w:p>
            <w:pPr>
              <w:pStyle w:val="Paprtekstas"/>
              <w:spacing w:lineRule="auto" w:line="240" w:before="0" w:after="120"/>
              <w:ind w:hanging="0"/>
              <w:jc w:val="center"/>
              <w:rPr>
                <w:color w:val="auto"/>
              </w:rPr>
            </w:pPr>
            <w:r>
              <w:rPr>
                <w:rFonts w:cs="Arial"/>
                <w:color w:val="auto"/>
                <w:szCs w:val="20"/>
              </w:rPr>
              <w:t>≥</w:t>
            </w:r>
            <w:r>
              <w:rPr>
                <w:rFonts w:cs="Arial"/>
                <w:color w:val="auto"/>
                <w:szCs w:val="20"/>
              </w:rPr>
              <w:t>45%</w:t>
            </w:r>
          </w:p>
        </w:tc>
      </w:tr>
      <w:tr>
        <w:trPr>
          <w:trHeight w:val="20" w:hRule="atLeast"/>
        </w:trPr>
        <w:tc>
          <w:tcPr>
            <w:tcW w:w="5201" w:type="dxa"/>
            <w:tcBorders>
              <w:top w:val="single" w:sz="4" w:space="0" w:color="000000"/>
              <w:left w:val="single" w:sz="4" w:space="0" w:color="000000"/>
              <w:bottom w:val="single" w:sz="4" w:space="0" w:color="000000"/>
              <w:right w:val="single" w:sz="4" w:space="0" w:color="000000"/>
            </w:tcBorders>
          </w:tcPr>
          <w:p>
            <w:pPr>
              <w:pStyle w:val="Paprtekstas"/>
              <w:spacing w:lineRule="auto" w:line="240" w:before="0" w:after="120"/>
              <w:ind w:hanging="0"/>
              <w:jc w:val="center"/>
              <w:rPr>
                <w:color w:val="auto"/>
              </w:rPr>
            </w:pPr>
            <w:r>
              <w:rPr>
                <w:rFonts w:cs="Arial"/>
                <w:color w:val="auto"/>
                <w:szCs w:val="20"/>
              </w:rPr>
              <w:t>Valkšnumas</w:t>
            </w:r>
          </w:p>
        </w:tc>
        <w:tc>
          <w:tcPr>
            <w:tcW w:w="4149" w:type="dxa"/>
            <w:tcBorders>
              <w:top w:val="single" w:sz="4" w:space="0" w:color="000000"/>
              <w:left w:val="single" w:sz="4" w:space="0" w:color="000000"/>
              <w:bottom w:val="single" w:sz="4" w:space="0" w:color="000000"/>
              <w:right w:val="single" w:sz="4" w:space="0" w:color="000000"/>
            </w:tcBorders>
            <w:vAlign w:val="center"/>
          </w:tcPr>
          <w:p>
            <w:pPr>
              <w:pStyle w:val="Paprtekstas"/>
              <w:spacing w:lineRule="auto" w:line="240" w:before="0" w:after="120"/>
              <w:ind w:hanging="0"/>
              <w:jc w:val="center"/>
              <w:rPr>
                <w:color w:val="auto"/>
              </w:rPr>
            </w:pPr>
            <w:r>
              <w:rPr>
                <w:rFonts w:cs="Arial"/>
                <w:color w:val="auto"/>
                <w:szCs w:val="20"/>
              </w:rPr>
              <w:t>-</w:t>
            </w:r>
          </w:p>
        </w:tc>
      </w:tr>
      <w:tr>
        <w:trPr>
          <w:trHeight w:val="20" w:hRule="atLeast"/>
        </w:trPr>
        <w:tc>
          <w:tcPr>
            <w:tcW w:w="5201" w:type="dxa"/>
            <w:tcBorders>
              <w:top w:val="single" w:sz="4" w:space="0" w:color="000000"/>
              <w:left w:val="single" w:sz="4" w:space="0" w:color="000000"/>
              <w:bottom w:val="single" w:sz="4" w:space="0" w:color="000000"/>
              <w:right w:val="single" w:sz="4" w:space="0" w:color="000000"/>
            </w:tcBorders>
          </w:tcPr>
          <w:p>
            <w:pPr>
              <w:pStyle w:val="Paprtekstas"/>
              <w:spacing w:lineRule="auto" w:line="240" w:before="0" w:after="120"/>
              <w:ind w:hanging="0"/>
              <w:jc w:val="center"/>
              <w:rPr>
                <w:color w:val="auto"/>
              </w:rPr>
            </w:pPr>
            <w:r>
              <w:rPr>
                <w:rFonts w:cs="Arial"/>
                <w:color w:val="auto"/>
                <w:szCs w:val="20"/>
              </w:rPr>
              <w:t>Trintis</w:t>
            </w:r>
          </w:p>
        </w:tc>
        <w:tc>
          <w:tcPr>
            <w:tcW w:w="4149" w:type="dxa"/>
            <w:tcBorders>
              <w:top w:val="single" w:sz="4" w:space="0" w:color="000000"/>
              <w:left w:val="single" w:sz="4" w:space="0" w:color="000000"/>
              <w:bottom w:val="single" w:sz="4" w:space="0" w:color="000000"/>
              <w:right w:val="single" w:sz="4" w:space="0" w:color="000000"/>
            </w:tcBorders>
            <w:vAlign w:val="center"/>
          </w:tcPr>
          <w:p>
            <w:pPr>
              <w:pStyle w:val="Paprtekstas"/>
              <w:spacing w:lineRule="auto" w:line="240" w:before="0" w:after="120"/>
              <w:ind w:hanging="0"/>
              <w:jc w:val="center"/>
              <w:rPr>
                <w:color w:val="auto"/>
              </w:rPr>
            </w:pPr>
            <w:r>
              <w:rPr>
                <w:rFonts w:cs="Arial"/>
                <w:color w:val="auto"/>
                <w:szCs w:val="20"/>
              </w:rPr>
              <w:t>-</w:t>
            </w:r>
          </w:p>
        </w:tc>
      </w:tr>
      <w:tr>
        <w:trPr>
          <w:trHeight w:val="20" w:hRule="atLeast"/>
        </w:trPr>
        <w:tc>
          <w:tcPr>
            <w:tcW w:w="5201" w:type="dxa"/>
            <w:tcBorders>
              <w:top w:val="single" w:sz="4" w:space="0" w:color="000000"/>
              <w:left w:val="single" w:sz="4" w:space="0" w:color="000000"/>
              <w:bottom w:val="single" w:sz="4" w:space="0" w:color="000000"/>
              <w:right w:val="single" w:sz="4" w:space="0" w:color="000000"/>
            </w:tcBorders>
          </w:tcPr>
          <w:p>
            <w:pPr>
              <w:pStyle w:val="Paprtekstas"/>
              <w:spacing w:lineRule="auto" w:line="240" w:before="0" w:after="120"/>
              <w:ind w:hanging="0"/>
              <w:jc w:val="center"/>
              <w:rPr>
                <w:color w:val="auto"/>
              </w:rPr>
            </w:pPr>
            <w:r>
              <w:rPr>
                <w:rFonts w:cs="Arial"/>
                <w:color w:val="auto"/>
                <w:szCs w:val="20"/>
              </w:rPr>
              <w:t>Sugadinimas instaliuojant</w:t>
            </w:r>
          </w:p>
        </w:tc>
        <w:tc>
          <w:tcPr>
            <w:tcW w:w="4149" w:type="dxa"/>
            <w:tcBorders>
              <w:top w:val="single" w:sz="4" w:space="0" w:color="000000"/>
              <w:left w:val="single" w:sz="4" w:space="0" w:color="000000"/>
              <w:bottom w:val="single" w:sz="4" w:space="0" w:color="000000"/>
              <w:right w:val="single" w:sz="4" w:space="0" w:color="000000"/>
            </w:tcBorders>
            <w:vAlign w:val="center"/>
          </w:tcPr>
          <w:p>
            <w:pPr>
              <w:pStyle w:val="Paprtekstas"/>
              <w:spacing w:lineRule="auto" w:line="240" w:before="0" w:after="120"/>
              <w:ind w:hanging="0"/>
              <w:jc w:val="center"/>
              <w:rPr>
                <w:color w:val="auto"/>
              </w:rPr>
            </w:pPr>
            <w:r>
              <w:rPr>
                <w:rFonts w:cs="Arial"/>
                <w:color w:val="auto"/>
                <w:szCs w:val="20"/>
              </w:rPr>
              <w:t>GRK 3</w:t>
            </w:r>
          </w:p>
        </w:tc>
      </w:tr>
      <w:tr>
        <w:trPr>
          <w:trHeight w:val="20" w:hRule="atLeast"/>
        </w:trPr>
        <w:tc>
          <w:tcPr>
            <w:tcW w:w="5201" w:type="dxa"/>
            <w:tcBorders>
              <w:top w:val="single" w:sz="4" w:space="0" w:color="000000"/>
              <w:left w:val="single" w:sz="4" w:space="0" w:color="000000"/>
              <w:bottom w:val="single" w:sz="4" w:space="0" w:color="000000"/>
              <w:right w:val="single" w:sz="4" w:space="0" w:color="000000"/>
            </w:tcBorders>
          </w:tcPr>
          <w:p>
            <w:pPr>
              <w:pStyle w:val="Paprtekstas"/>
              <w:spacing w:lineRule="auto" w:line="240" w:before="0" w:after="120"/>
              <w:ind w:hanging="0"/>
              <w:jc w:val="center"/>
              <w:rPr>
                <w:color w:val="auto"/>
              </w:rPr>
            </w:pPr>
            <w:r>
              <w:rPr>
                <w:rFonts w:cs="Arial"/>
                <w:color w:val="auto"/>
                <w:szCs w:val="20"/>
              </w:rPr>
              <w:t>Būdingasis kiaurymės matmuo</w:t>
            </w:r>
          </w:p>
        </w:tc>
        <w:tc>
          <w:tcPr>
            <w:tcW w:w="4149" w:type="dxa"/>
            <w:tcBorders>
              <w:top w:val="single" w:sz="4" w:space="0" w:color="000000"/>
              <w:left w:val="single" w:sz="4" w:space="0" w:color="000000"/>
              <w:bottom w:val="single" w:sz="4" w:space="0" w:color="000000"/>
              <w:right w:val="single" w:sz="4" w:space="0" w:color="000000"/>
            </w:tcBorders>
          </w:tcPr>
          <w:p>
            <w:pPr>
              <w:pStyle w:val="Paprtekstas"/>
              <w:spacing w:lineRule="auto" w:line="240" w:before="0" w:after="120"/>
              <w:ind w:hanging="0"/>
              <w:jc w:val="center"/>
              <w:rPr>
                <w:color w:val="auto"/>
              </w:rPr>
            </w:pPr>
            <w:r>
              <w:rPr>
                <w:rFonts w:cs="Arial"/>
                <w:color w:val="auto"/>
                <w:szCs w:val="20"/>
              </w:rPr>
              <w:t>0,06 mm ≤ pasirinktas O</w:t>
            </w:r>
            <w:r>
              <w:rPr>
                <w:rFonts w:cs="Arial"/>
                <w:color w:val="auto"/>
                <w:szCs w:val="20"/>
                <w:vertAlign w:val="subscript"/>
              </w:rPr>
              <w:t>90</w:t>
            </w:r>
            <w:r>
              <w:rPr>
                <w:rFonts w:cs="Arial"/>
                <w:color w:val="auto"/>
                <w:szCs w:val="20"/>
              </w:rPr>
              <w:t xml:space="preserve"> ≤ 0,13 mm</w:t>
            </w:r>
          </w:p>
        </w:tc>
      </w:tr>
      <w:tr>
        <w:trPr>
          <w:trHeight w:val="20" w:hRule="atLeast"/>
        </w:trPr>
        <w:tc>
          <w:tcPr>
            <w:tcW w:w="5201" w:type="dxa"/>
            <w:tcBorders>
              <w:top w:val="single" w:sz="4" w:space="0" w:color="000000"/>
              <w:left w:val="single" w:sz="4" w:space="0" w:color="000000"/>
              <w:bottom w:val="single" w:sz="4" w:space="0" w:color="000000"/>
              <w:right w:val="single" w:sz="4" w:space="0" w:color="000000"/>
            </w:tcBorders>
          </w:tcPr>
          <w:p>
            <w:pPr>
              <w:pStyle w:val="Paprtekstas"/>
              <w:spacing w:lineRule="auto" w:line="240" w:before="0" w:after="120"/>
              <w:ind w:hanging="0"/>
              <w:jc w:val="center"/>
              <w:rPr>
                <w:color w:val="auto"/>
              </w:rPr>
            </w:pPr>
            <w:r>
              <w:rPr>
                <w:rFonts w:cs="Arial"/>
                <w:color w:val="auto"/>
                <w:szCs w:val="20"/>
              </w:rPr>
              <w:t>Pralaidumas vandeniui</w:t>
            </w:r>
          </w:p>
        </w:tc>
        <w:tc>
          <w:tcPr>
            <w:tcW w:w="4149" w:type="dxa"/>
            <w:tcBorders>
              <w:top w:val="single" w:sz="4" w:space="0" w:color="000000"/>
              <w:left w:val="single" w:sz="4" w:space="0" w:color="000000"/>
              <w:bottom w:val="single" w:sz="4" w:space="0" w:color="000000"/>
              <w:right w:val="single" w:sz="4" w:space="0" w:color="000000"/>
            </w:tcBorders>
            <w:vAlign w:val="center"/>
          </w:tcPr>
          <w:p>
            <w:pPr>
              <w:pStyle w:val="Paprtekstas"/>
              <w:spacing w:lineRule="auto" w:line="240" w:before="0" w:after="120"/>
              <w:ind w:hanging="0"/>
              <w:jc w:val="center"/>
              <w:rPr>
                <w:color w:val="auto"/>
              </w:rPr>
            </w:pPr>
            <w:r>
              <w:rPr>
                <w:rFonts w:cs="Arial"/>
                <w:color w:val="auto"/>
                <w:szCs w:val="20"/>
              </w:rPr>
              <w:t xml:space="preserve">≥ </w:t>
            </w:r>
            <w:r>
              <w:rPr>
                <w:rFonts w:cs="Arial"/>
                <w:color w:val="auto"/>
                <w:szCs w:val="20"/>
              </w:rPr>
              <w:t>60 l/m</w:t>
            </w:r>
            <w:r>
              <w:rPr>
                <w:rFonts w:cs="Arial"/>
                <w:color w:val="auto"/>
                <w:szCs w:val="20"/>
                <w:vertAlign w:val="superscript"/>
              </w:rPr>
              <w:t>2</w:t>
            </w:r>
            <w:r>
              <w:rPr>
                <w:rFonts w:cs="Arial"/>
                <w:color w:val="auto"/>
                <w:szCs w:val="20"/>
              </w:rPr>
              <w:t>s</w:t>
            </w:r>
          </w:p>
        </w:tc>
      </w:tr>
      <w:tr>
        <w:trPr>
          <w:trHeight w:val="20" w:hRule="atLeast"/>
        </w:trPr>
        <w:tc>
          <w:tcPr>
            <w:tcW w:w="5201" w:type="dxa"/>
            <w:tcBorders>
              <w:top w:val="single" w:sz="4" w:space="0" w:color="000000"/>
              <w:left w:val="single" w:sz="4" w:space="0" w:color="000000"/>
              <w:bottom w:val="single" w:sz="4" w:space="0" w:color="000000"/>
              <w:right w:val="single" w:sz="4" w:space="0" w:color="000000"/>
            </w:tcBorders>
          </w:tcPr>
          <w:p>
            <w:pPr>
              <w:pStyle w:val="Paprtekstas"/>
              <w:spacing w:lineRule="auto" w:line="240" w:before="0" w:after="120"/>
              <w:ind w:hanging="0"/>
              <w:jc w:val="center"/>
              <w:rPr>
                <w:color w:val="auto"/>
              </w:rPr>
            </w:pPr>
            <w:r>
              <w:rPr>
                <w:rFonts w:cs="Arial"/>
                <w:color w:val="auto"/>
                <w:szCs w:val="20"/>
              </w:rPr>
              <w:t>Cheminio senėjimo atsparumas</w:t>
            </w:r>
          </w:p>
        </w:tc>
        <w:tc>
          <w:tcPr>
            <w:tcW w:w="4149" w:type="dxa"/>
            <w:tcBorders>
              <w:top w:val="single" w:sz="4" w:space="0" w:color="000000"/>
              <w:left w:val="single" w:sz="4" w:space="0" w:color="000000"/>
              <w:bottom w:val="single" w:sz="4" w:space="0" w:color="000000"/>
              <w:right w:val="single" w:sz="4" w:space="0" w:color="000000"/>
            </w:tcBorders>
            <w:vAlign w:val="center"/>
          </w:tcPr>
          <w:p>
            <w:pPr>
              <w:pStyle w:val="Paprtekstas"/>
              <w:spacing w:lineRule="auto" w:line="240" w:before="0" w:after="120"/>
              <w:ind w:hanging="0"/>
              <w:jc w:val="center"/>
              <w:rPr>
                <w:color w:val="auto"/>
              </w:rPr>
            </w:pPr>
            <w:r>
              <w:rPr>
                <w:rFonts w:cs="Arial"/>
                <w:color w:val="auto"/>
                <w:szCs w:val="20"/>
              </w:rPr>
              <w:t>Ne trumpesnis nei 100 metų, natūraliuose gruntuose, kurių aplinkinė terpė 4 ≤ pH ≤ 9 bei grunto temperatūra &lt;25˚C.</w:t>
            </w:r>
          </w:p>
        </w:tc>
      </w:tr>
      <w:tr>
        <w:trPr>
          <w:trHeight w:val="20" w:hRule="atLeast"/>
        </w:trPr>
        <w:tc>
          <w:tcPr>
            <w:tcW w:w="5201" w:type="dxa"/>
            <w:tcBorders>
              <w:top w:val="single" w:sz="4" w:space="0" w:color="000000"/>
              <w:left w:val="single" w:sz="4" w:space="0" w:color="000000"/>
              <w:bottom w:val="single" w:sz="4" w:space="0" w:color="000000"/>
              <w:right w:val="single" w:sz="4" w:space="0" w:color="000000"/>
            </w:tcBorders>
          </w:tcPr>
          <w:p>
            <w:pPr>
              <w:pStyle w:val="Paprtekstas"/>
              <w:spacing w:lineRule="auto" w:line="240" w:before="0" w:after="120"/>
              <w:ind w:hanging="0"/>
              <w:jc w:val="center"/>
              <w:rPr>
                <w:color w:val="auto"/>
              </w:rPr>
            </w:pPr>
            <w:r>
              <w:rPr>
                <w:rFonts w:cs="Arial"/>
                <w:color w:val="auto"/>
                <w:szCs w:val="20"/>
              </w:rPr>
              <w:t>Atmosferos poveikio atsparumas</w:t>
            </w:r>
          </w:p>
        </w:tc>
        <w:tc>
          <w:tcPr>
            <w:tcW w:w="4149" w:type="dxa"/>
            <w:tcBorders>
              <w:top w:val="single" w:sz="4" w:space="0" w:color="000000"/>
              <w:left w:val="single" w:sz="4" w:space="0" w:color="000000"/>
              <w:bottom w:val="single" w:sz="4" w:space="0" w:color="000000"/>
              <w:right w:val="single" w:sz="4" w:space="0" w:color="000000"/>
            </w:tcBorders>
            <w:vAlign w:val="center"/>
          </w:tcPr>
          <w:p>
            <w:pPr>
              <w:pStyle w:val="Paprtekstas"/>
              <w:spacing w:lineRule="auto" w:line="240" w:before="0" w:after="120"/>
              <w:ind w:hanging="0"/>
              <w:jc w:val="center"/>
              <w:rPr>
                <w:color w:val="auto"/>
              </w:rPr>
            </w:pPr>
            <w:r>
              <w:rPr>
                <w:rFonts w:cs="Arial"/>
                <w:color w:val="auto"/>
                <w:szCs w:val="20"/>
              </w:rPr>
              <w:t>Pagal MN GEOSINT ŽD 13 IX skyriaus IV skirsnio 425 punkto 6 lentelės reikalavimus bei gamintojo rekomendacija</w:t>
            </w:r>
          </w:p>
        </w:tc>
      </w:tr>
      <w:tr>
        <w:trPr>
          <w:trHeight w:val="20" w:hRule="atLeast"/>
        </w:trPr>
        <w:tc>
          <w:tcPr>
            <w:tcW w:w="5201" w:type="dxa"/>
            <w:tcBorders>
              <w:top w:val="single" w:sz="4" w:space="0" w:color="000000"/>
              <w:left w:val="single" w:sz="4" w:space="0" w:color="000000"/>
              <w:bottom w:val="single" w:sz="4" w:space="0" w:color="000000"/>
              <w:right w:val="single" w:sz="4" w:space="0" w:color="000000"/>
            </w:tcBorders>
            <w:vAlign w:val="center"/>
          </w:tcPr>
          <w:p>
            <w:pPr>
              <w:pStyle w:val="Paprtekstas"/>
              <w:spacing w:lineRule="auto" w:line="240" w:before="0" w:after="120"/>
              <w:ind w:hanging="0"/>
              <w:jc w:val="center"/>
              <w:rPr>
                <w:color w:val="auto"/>
              </w:rPr>
            </w:pPr>
            <w:r>
              <w:rPr>
                <w:color w:val="auto"/>
              </w:rPr>
              <w:t>Medžiagiškumas</w:t>
            </w:r>
          </w:p>
        </w:tc>
        <w:tc>
          <w:tcPr>
            <w:tcW w:w="4149" w:type="dxa"/>
            <w:tcBorders>
              <w:top w:val="single" w:sz="4" w:space="0" w:color="000000"/>
              <w:left w:val="single" w:sz="4" w:space="0" w:color="000000"/>
              <w:bottom w:val="single" w:sz="4" w:space="0" w:color="000000"/>
              <w:right w:val="single" w:sz="4" w:space="0" w:color="000000"/>
            </w:tcBorders>
            <w:vAlign w:val="center"/>
          </w:tcPr>
          <w:p>
            <w:pPr>
              <w:pStyle w:val="Paprtekstas"/>
              <w:spacing w:lineRule="auto" w:line="240" w:before="0" w:after="120"/>
              <w:ind w:hanging="0"/>
              <w:jc w:val="center"/>
              <w:rPr>
                <w:color w:val="auto"/>
              </w:rPr>
            </w:pPr>
            <w:r>
              <w:rPr>
                <w:color w:val="auto"/>
              </w:rPr>
              <w:t>PP</w:t>
            </w:r>
          </w:p>
        </w:tc>
      </w:tr>
    </w:tbl>
    <w:p>
      <w:pPr>
        <w:pStyle w:val="Paprtekstas"/>
        <w:rPr>
          <w:color w:val="auto"/>
        </w:rPr>
      </w:pPr>
      <w:r>
        <w:rPr>
          <w:color w:val="auto"/>
        </w:rPr>
        <w:t>Įrenginėjant geotekstilę būtina vadovautis galiojančiais normatyviniais reikalavimais ir pasirinkto medžiagų tiekėjo pateikiamomis įrengimo taisyklėmis (rekomendacijomis).</w:t>
      </w:r>
    </w:p>
    <w:p>
      <w:pPr>
        <w:pStyle w:val="2LVL"/>
        <w:numPr>
          <w:ilvl w:val="0"/>
          <w:numId w:val="0"/>
        </w:numPr>
        <w:spacing w:lineRule="auto" w:line="240"/>
        <w:ind w:hanging="0" w:left="354"/>
        <w:outlineLvl w:val="0"/>
        <w:rPr>
          <w:color w:val="auto"/>
        </w:rPr>
      </w:pPr>
      <w:bookmarkStart w:id="50" w:name="_Toc166156965"/>
      <w:bookmarkStart w:id="51" w:name="_Toc121905983"/>
      <w:bookmarkStart w:id="52" w:name="_Toc96603526"/>
      <w:bookmarkStart w:id="53" w:name="_Toc71646880"/>
      <w:bookmarkStart w:id="54" w:name="_Toc478547123"/>
      <w:bookmarkStart w:id="55" w:name="_Toc473204232"/>
      <w:bookmarkStart w:id="56" w:name="_Toc472684390"/>
      <w:bookmarkStart w:id="57" w:name="_Toc472507968"/>
      <w:bookmarkStart w:id="58" w:name="_Toc447631012"/>
      <w:bookmarkStart w:id="59" w:name="_Toc447625410"/>
      <w:bookmarkStart w:id="60" w:name="_Toc447615384"/>
      <w:bookmarkStart w:id="61" w:name="_Toc447027664"/>
      <w:bookmarkStart w:id="62" w:name="_Toc371678667"/>
      <w:bookmarkStart w:id="63" w:name="_Toc401131328"/>
      <w:bookmarkStart w:id="64" w:name="_Toc417287918"/>
      <w:bookmarkStart w:id="65" w:name="_Toc166156964_Copy_1"/>
      <w:bookmarkStart w:id="66" w:name="_Toc121905982_Copy_1"/>
      <w:bookmarkStart w:id="67" w:name="_Toc96603525_Copy_1"/>
      <w:bookmarkEnd w:id="65"/>
      <w:bookmarkEnd w:id="66"/>
      <w:bookmarkEnd w:id="67"/>
      <w:r>
        <w:rPr>
          <w:b w:val="false"/>
          <w:bCs w:val="false"/>
          <w:i/>
          <w:iCs/>
          <w:color w:val="auto"/>
          <w:u w:val="single"/>
        </w:rPr>
        <w:t>Darbų atlikimas</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pPr>
        <w:pStyle w:val="3LVL"/>
        <w:keepLines/>
        <w:numPr>
          <w:ilvl w:val="0"/>
          <w:numId w:val="0"/>
        </w:numPr>
        <w:ind w:hanging="0" w:left="360"/>
        <w:outlineLvl w:val="2"/>
        <w:rPr>
          <w:color w:val="auto"/>
        </w:rPr>
      </w:pPr>
      <w:r>
        <w:rPr>
          <w:b w:val="false"/>
          <w:bCs w:val="false"/>
          <w:i/>
          <w:iCs/>
          <w:color w:val="auto"/>
          <w:u w:val="single"/>
        </w:rPr>
        <w:t>Tranšėjų įrengimas</w:t>
      </w:r>
    </w:p>
    <w:p>
      <w:pPr>
        <w:pStyle w:val="Paprtekstas"/>
        <w:rPr>
          <w:color w:val="auto"/>
        </w:rPr>
      </w:pPr>
      <w:r>
        <w:rPr>
          <w:color w:val="auto"/>
        </w:rPr>
        <w:t xml:space="preserve">Iškastos tranšėjos turi būti tokio dydžio, kad jose tilptų vamzdžiai bei jų pagrindai, ir kad tranšėjas būtų galima sutvirtinti, esant reikalui, panaudojant tvirtinimus. </w:t>
      </w:r>
    </w:p>
    <w:p>
      <w:pPr>
        <w:pStyle w:val="Paprtekstas"/>
        <w:rPr>
          <w:color w:val="auto"/>
        </w:rPr>
      </w:pPr>
      <w:r>
        <w:rPr>
          <w:color w:val="auto"/>
        </w:rPr>
        <w:t>Vamzdžių tranšėjose, kiek tai įmanoma, neturi būti paviršinio ar gruntinio vandens. Tranšėjų įrengimas aprašomos ĮT ŽS 17.</w:t>
      </w:r>
    </w:p>
    <w:p>
      <w:pPr>
        <w:pStyle w:val="3LVL"/>
        <w:keepLines/>
        <w:numPr>
          <w:ilvl w:val="0"/>
          <w:numId w:val="0"/>
        </w:numPr>
        <w:ind w:hanging="0" w:left="360"/>
        <w:outlineLvl w:val="2"/>
        <w:rPr>
          <w:color w:val="auto"/>
        </w:rPr>
      </w:pPr>
      <w:bookmarkStart w:id="68" w:name="_Toc71880622"/>
      <w:bookmarkStart w:id="69" w:name="_Toc52806060"/>
      <w:bookmarkStart w:id="70" w:name="_Toc520294613"/>
      <w:r>
        <w:rPr>
          <w:b w:val="false"/>
          <w:bCs w:val="false"/>
          <w:i/>
          <w:iCs/>
          <w:color w:val="auto"/>
          <w:u w:val="single"/>
        </w:rPr>
        <w:t>Vamzdžių sujungimas</w:t>
      </w:r>
      <w:bookmarkEnd w:id="68"/>
      <w:bookmarkEnd w:id="69"/>
      <w:bookmarkEnd w:id="70"/>
    </w:p>
    <w:p>
      <w:pPr>
        <w:pStyle w:val="Paprtekstas"/>
        <w:rPr>
          <w:color w:val="auto"/>
        </w:rPr>
      </w:pPr>
      <w:r>
        <w:rPr>
          <w:color w:val="auto"/>
        </w:rPr>
        <w:t>Vamzdžių sujungimai atliekami griežtai pagal gamintojo nurodymus.</w:t>
      </w:r>
    </w:p>
    <w:p>
      <w:pPr>
        <w:pStyle w:val="Paprtekstas"/>
        <w:rPr>
          <w:color w:val="auto"/>
        </w:rPr>
      </w:pPr>
      <w:r>
        <w:rPr>
          <w:color w:val="auto"/>
        </w:rPr>
        <w:t xml:space="preserve">Prieš sujungiant visos jungiamosios dalys gerai nuvalomos, išdžiovinamos ir taip laikomos panaudojus gamintojo rekomenduotą sujungimo tepimo priemone, kol sujungimas sumontuojamas. </w:t>
      </w:r>
    </w:p>
    <w:p>
      <w:pPr>
        <w:pStyle w:val="Paprtekstas"/>
        <w:rPr>
          <w:color w:val="auto"/>
        </w:rPr>
      </w:pPr>
      <w:r>
        <w:rPr>
          <w:color w:val="auto"/>
        </w:rPr>
        <w:t xml:space="preserve">Nors vamzdžių sujungimai ir gali būti kažkiek lankstus, vamzdžiai turi būti tvirtai įtaisyti, kad sujungiant bei sujungus jie nejudėtų. </w:t>
      </w:r>
    </w:p>
    <w:p>
      <w:pPr>
        <w:pStyle w:val="Paprtekstas"/>
        <w:rPr>
          <w:color w:val="auto"/>
        </w:rPr>
      </w:pPr>
      <w:r>
        <w:rPr>
          <w:color w:val="auto"/>
        </w:rPr>
        <w:t>Sujungimai sandarinimo tarpinėmis su guminiais žiedais. Guminiai sujungimo žiedai ir tepimo priemonės turi atitikti gamintojo reikalavimus. Šios sandarinimo ir tepimo priemones turi būti pateikiamos komplekte kartu su vamzdžiais ar armatūra. Guminiai sujungimo žiedai turi būti atsparus medžiagoms su kuriomis darbo metu turės sąlytį.</w:t>
      </w:r>
    </w:p>
    <w:p>
      <w:pPr>
        <w:pStyle w:val="Paprtekstas"/>
        <w:rPr>
          <w:color w:val="auto"/>
        </w:rPr>
      </w:pPr>
      <w:r>
        <w:rPr>
          <w:color w:val="auto"/>
        </w:rPr>
        <w:t>Plastikiniai vamzdžiai numatyti su movomis.</w:t>
      </w:r>
    </w:p>
    <w:p>
      <w:pPr>
        <w:pStyle w:val="3LVL"/>
        <w:keepLines/>
        <w:numPr>
          <w:ilvl w:val="0"/>
          <w:numId w:val="0"/>
        </w:numPr>
        <w:ind w:hanging="0" w:left="360"/>
        <w:outlineLvl w:val="2"/>
        <w:rPr>
          <w:color w:val="auto"/>
        </w:rPr>
      </w:pPr>
      <w:bookmarkStart w:id="71" w:name="_Toc71880623"/>
      <w:bookmarkStart w:id="72" w:name="_Toc52806061"/>
      <w:bookmarkStart w:id="73" w:name="_Toc520294616"/>
      <w:r>
        <w:rPr>
          <w:b w:val="false"/>
          <w:bCs w:val="false"/>
          <w:i/>
          <w:iCs/>
          <w:color w:val="auto"/>
          <w:u w:val="single"/>
        </w:rPr>
        <w:t>Drenažo klojimas</w:t>
      </w:r>
      <w:bookmarkEnd w:id="71"/>
      <w:bookmarkEnd w:id="72"/>
      <w:bookmarkEnd w:id="73"/>
    </w:p>
    <w:p>
      <w:pPr>
        <w:pStyle w:val="Paprtekstas"/>
        <w:rPr>
          <w:color w:val="auto"/>
        </w:rPr>
      </w:pPr>
      <w:r>
        <w:rPr>
          <w:color w:val="000000"/>
          <w:shd w:fill="auto" w:val="clear"/>
        </w:rPr>
        <w:t>Drenažo įrengimo darbai turi  atitikti Automobilių kelių žemės darbų atlikimo ir žemės sankasos įrengimo taisykles ĮT ŽS 17 reikalavimus.</w:t>
      </w:r>
    </w:p>
    <w:p>
      <w:pPr>
        <w:pStyle w:val="Paprtekstas"/>
        <w:rPr>
          <w:color w:val="auto"/>
        </w:rPr>
      </w:pPr>
      <w:r>
        <w:rPr>
          <w:color w:val="000000"/>
          <w:shd w:fill="auto" w:val="clear"/>
        </w:rPr>
        <w:t xml:space="preserve">Plastikiniai d </w:t>
      </w:r>
      <w:r>
        <w:rPr>
          <w:rFonts w:eastAsia="Calibri"/>
          <w:color w:val="000000"/>
          <w:szCs w:val="20"/>
          <w:shd w:fill="auto" w:val="clear"/>
        </w:rPr>
        <w:t>≥</w:t>
      </w:r>
      <w:r>
        <w:rPr>
          <w:color w:val="000000"/>
          <w:shd w:fill="auto" w:val="clear"/>
        </w:rPr>
        <w:t xml:space="preserve"> 113mm vidinio skersmens drenažo vamzdžiai su geotekstilės filtru paklojami ant 0,10 m storio žvirgždo skalda 5/8. Drenažas užpilamas 11/16 frakcijos žvirgždo skalda. </w:t>
      </w:r>
    </w:p>
    <w:p>
      <w:pPr>
        <w:pStyle w:val="Paprtekstas"/>
        <w:rPr>
          <w:color w:val="auto"/>
        </w:rPr>
      </w:pPr>
      <w:r>
        <w:rPr>
          <w:color w:val="000000"/>
          <w:shd w:fill="auto" w:val="clear"/>
        </w:rPr>
        <w:t>Drenažo vamzdžio ištekėjimo galas yra užaklinamas, įtekėjimas į LVN dalimi rengiamus apžiūros šulinius. Įrengiamuose apžiūros šuliniuose išgręžiamos skylės bei vamzdžiai ir jungiamosios dalys įrengiamos su sandarinimo tarpinėmis, kur gamykloje turi būti įstatyti guminiai žiedai sutepti specialiu silikono tepalu, kad apsaugotų guminius žiedus (tarpinę) nuo purvo.</w:t>
      </w:r>
    </w:p>
    <w:p>
      <w:pPr>
        <w:pStyle w:val="Paprtekstas"/>
        <w:rPr>
          <w:color w:val="auto"/>
        </w:rPr>
      </w:pPr>
      <w:r>
        <w:rPr>
          <w:color w:val="000000"/>
          <w:shd w:fill="auto" w:val="clear"/>
        </w:rPr>
        <w:t xml:space="preserve">Klojant drenažo sistemos tinklus būtina įsivertinti vamzdžio aukštį, gylį bei nuolydį. Vietose, kuriose drenažas susikerta su kitais inžineriniais tinklais, įvertinti galimai reikalavimų neatitinkantį inžinerinių tinklų įrengimo gylį. </w:t>
      </w:r>
    </w:p>
    <w:p>
      <w:pPr>
        <w:pStyle w:val="Paprtekstas"/>
        <w:rPr>
          <w:color w:val="auto"/>
        </w:rPr>
      </w:pPr>
      <w:r>
        <w:rPr>
          <w:color w:val="000000"/>
          <w:shd w:fill="auto" w:val="clear"/>
        </w:rPr>
        <w:t>Drenažo linijos gali būti naudojamos pamatų duobių ir tranšėjų laikinam nusausinimui statybos metu, po to jas paliekant ar pašalinant, kaip numatyta projekte arba pagal Inžinieriaus nurodymus.</w:t>
      </w:r>
    </w:p>
    <w:p>
      <w:pPr>
        <w:pStyle w:val="2LVL"/>
        <w:numPr>
          <w:ilvl w:val="0"/>
          <w:numId w:val="0"/>
        </w:numPr>
        <w:spacing w:lineRule="auto" w:line="240"/>
        <w:ind w:hanging="0" w:left="354"/>
        <w:outlineLvl w:val="0"/>
        <w:rPr>
          <w:color w:val="auto"/>
        </w:rPr>
      </w:pPr>
      <w:bookmarkStart w:id="74" w:name="_Toc71880625"/>
      <w:bookmarkStart w:id="75" w:name="_Toc52806062"/>
      <w:bookmarkStart w:id="76" w:name="_Toc520294620"/>
      <w:r>
        <w:rPr>
          <w:b w:val="false"/>
          <w:bCs w:val="false"/>
          <w:i/>
          <w:iCs/>
          <w:color w:val="000000"/>
          <w:u w:val="single"/>
          <w:shd w:fill="auto" w:val="clear"/>
        </w:rPr>
        <w:t>Leistini nuokrypiai</w:t>
      </w:r>
      <w:bookmarkEnd w:id="74"/>
      <w:bookmarkEnd w:id="75"/>
      <w:bookmarkEnd w:id="76"/>
    </w:p>
    <w:p>
      <w:pPr>
        <w:pStyle w:val="Paprtekstas"/>
        <w:rPr>
          <w:color w:val="auto"/>
        </w:rPr>
      </w:pPr>
      <w:r>
        <w:rPr>
          <w:color w:val="000000"/>
          <w:shd w:fill="auto" w:val="clear"/>
        </w:rPr>
        <w:t>Leistini nuokrypiai pateikiami ĮT ŽS 17 XVIII skyriaus 12 lentelė.</w:t>
      </w:r>
    </w:p>
    <w:p>
      <w:pPr>
        <w:pStyle w:val="2LVL"/>
        <w:numPr>
          <w:ilvl w:val="0"/>
          <w:numId w:val="0"/>
        </w:numPr>
        <w:spacing w:lineRule="auto" w:line="240"/>
        <w:ind w:hanging="0" w:left="354"/>
        <w:outlineLvl w:val="0"/>
        <w:rPr>
          <w:color w:val="auto"/>
        </w:rPr>
      </w:pPr>
      <w:bookmarkStart w:id="77" w:name="_Toc520294621"/>
      <w:bookmarkStart w:id="78" w:name="_Toc71880626"/>
      <w:bookmarkStart w:id="79" w:name="_Toc52806063"/>
      <w:r>
        <w:rPr>
          <w:b w:val="false"/>
          <w:bCs w:val="false"/>
          <w:i/>
          <w:iCs/>
          <w:color w:val="000000"/>
          <w:shd w:fill="auto" w:val="clear"/>
        </w:rPr>
        <w:t>Darbų kontrolė ir priėmimas</w:t>
      </w:r>
      <w:bookmarkEnd w:id="77"/>
      <w:bookmarkEnd w:id="78"/>
      <w:bookmarkEnd w:id="79"/>
    </w:p>
    <w:p>
      <w:pPr>
        <w:pStyle w:val="Paprtekstas"/>
        <w:rPr>
          <w:color w:val="auto"/>
        </w:rPr>
      </w:pPr>
      <w:r>
        <w:rPr>
          <w:color w:val="000000"/>
          <w:shd w:fill="auto" w:val="clear"/>
        </w:rPr>
        <w:t>Darbų kontrolė ir bandymai turi atitikti ĮT ŽS 17 XVIII skyriaus reikalavimus.</w:t>
      </w:r>
    </w:p>
    <w:p>
      <w:pPr>
        <w:pStyle w:val="2LVL"/>
        <w:numPr>
          <w:ilvl w:val="0"/>
          <w:numId w:val="0"/>
        </w:numPr>
        <w:spacing w:lineRule="auto" w:line="240"/>
        <w:ind w:hanging="0" w:left="354"/>
        <w:outlineLvl w:val="0"/>
        <w:rPr>
          <w:color w:val="auto"/>
        </w:rPr>
      </w:pPr>
      <w:bookmarkStart w:id="80" w:name="_Toc71880627"/>
      <w:bookmarkStart w:id="81" w:name="_Toc52806064"/>
      <w:bookmarkStart w:id="82" w:name="_Toc520294622"/>
      <w:r>
        <w:rPr>
          <w:b w:val="false"/>
          <w:bCs w:val="false"/>
          <w:i/>
          <w:iCs/>
          <w:color w:val="000000"/>
          <w:u w:val="single"/>
          <w:shd w:fill="auto" w:val="clear"/>
        </w:rPr>
        <w:t>Bandymų rūšys</w:t>
      </w:r>
      <w:bookmarkEnd w:id="80"/>
      <w:bookmarkEnd w:id="81"/>
      <w:bookmarkEnd w:id="82"/>
    </w:p>
    <w:p>
      <w:pPr>
        <w:pStyle w:val="Paprtekstas"/>
        <w:widowControl/>
        <w:suppressAutoHyphens w:val="true"/>
        <w:bidi w:val="0"/>
        <w:spacing w:lineRule="auto" w:line="276"/>
        <w:rPr>
          <w:color w:val="auto"/>
        </w:rPr>
      </w:pPr>
      <w:r>
        <w:rPr>
          <w:rFonts w:eastAsia="Times New Roman" w:cs="Times New Roman"/>
          <w:color w:val="000000"/>
          <w:kern w:val="0"/>
          <w:szCs w:val="24"/>
          <w:shd w:fill="auto" w:val="clear"/>
          <w:lang w:val="lt-LT" w:eastAsia="en-US" w:bidi="ar-SA"/>
        </w:rPr>
        <w:t>Reikalavimai bandymų rūšims pateikti ĮT ŽS 17 XVIII skyriuje.</w:t>
      </w:r>
    </w:p>
    <w:p>
      <w:pPr>
        <w:pStyle w:val="Paprtekstas"/>
        <w:widowControl/>
        <w:suppressAutoHyphens w:val="true"/>
        <w:bidi w:val="0"/>
        <w:spacing w:lineRule="auto" w:line="276"/>
        <w:rPr>
          <w:rFonts w:eastAsia="Times New Roman" w:cs="Times New Roman"/>
          <w:color w:val="auto"/>
          <w:kern w:val="0"/>
          <w:szCs w:val="24"/>
          <w:highlight w:val="none"/>
          <w:shd w:fill="auto" w:val="clear"/>
          <w:lang w:val="lt-LT" w:eastAsia="en-US" w:bidi="ar-SA"/>
        </w:rPr>
      </w:pPr>
      <w:r>
        <w:rPr>
          <w:rFonts w:eastAsia="Times New Roman" w:cs="Times New Roman"/>
          <w:color w:val="auto"/>
          <w:kern w:val="0"/>
          <w:szCs w:val="24"/>
          <w:shd w:fill="auto" w:val="clear"/>
          <w:lang w:val="lt-LT" w:eastAsia="en-US" w:bidi="ar-SA"/>
        </w:rPr>
      </w:r>
    </w:p>
    <w:p>
      <w:pPr>
        <w:pStyle w:val="2LVL"/>
        <w:numPr>
          <w:ilvl w:val="0"/>
          <w:numId w:val="0"/>
        </w:numPr>
        <w:spacing w:lineRule="auto" w:line="240"/>
        <w:ind w:hanging="0" w:left="354"/>
        <w:outlineLvl w:val="0"/>
        <w:rPr>
          <w:color w:val="auto"/>
        </w:rPr>
      </w:pPr>
      <w:bookmarkStart w:id="83" w:name="_Toc71880628"/>
      <w:bookmarkStart w:id="84" w:name="_Toc52806065"/>
      <w:r>
        <w:rPr>
          <w:b w:val="false"/>
          <w:bCs w:val="false"/>
          <w:i/>
          <w:iCs/>
          <w:color w:val="000000"/>
          <w:u w:val="single"/>
          <w:shd w:fill="auto" w:val="clear"/>
        </w:rPr>
        <w:t>Kiti normatyviniai statybos techniniai dokumentai</w:t>
      </w:r>
      <w:bookmarkEnd w:id="83"/>
      <w:bookmarkEnd w:id="84"/>
    </w:p>
    <w:tbl>
      <w:tblPr>
        <w:tblW w:w="9350" w:type="dxa"/>
        <w:jc w:val="left"/>
        <w:tblInd w:w="113" w:type="dxa"/>
        <w:tblLayout w:type="fixed"/>
        <w:tblCellMar>
          <w:top w:w="0" w:type="dxa"/>
          <w:left w:w="108" w:type="dxa"/>
          <w:bottom w:w="0" w:type="dxa"/>
          <w:right w:w="108" w:type="dxa"/>
        </w:tblCellMar>
        <w:tblLook w:firstRow="1" w:noVBand="1" w:lastRow="0" w:firstColumn="1" w:lastColumn="0" w:noHBand="0" w:val="04a0"/>
      </w:tblPr>
      <w:tblGrid>
        <w:gridCol w:w="2663"/>
        <w:gridCol w:w="6687"/>
      </w:tblGrid>
      <w:tr>
        <w:trPr/>
        <w:tc>
          <w:tcPr>
            <w:tcW w:w="2663" w:type="dxa"/>
            <w:tcBorders>
              <w:top w:val="single" w:sz="4" w:space="0" w:color="000000"/>
              <w:left w:val="single" w:sz="4" w:space="0" w:color="000000"/>
              <w:bottom w:val="single" w:sz="4" w:space="0" w:color="000000"/>
              <w:right w:val="single" w:sz="4" w:space="0" w:color="000000"/>
            </w:tcBorders>
            <w:vAlign w:val="center"/>
          </w:tcPr>
          <w:p>
            <w:pPr>
              <w:pStyle w:val="Normal"/>
              <w:spacing w:before="0" w:after="200"/>
              <w:rPr>
                <w:color w:val="auto"/>
              </w:rPr>
            </w:pPr>
            <w:r>
              <w:rPr>
                <w:rFonts w:eastAsia="Calibri" w:cs="Arial" w:ascii="Arial" w:hAnsi="Arial"/>
                <w:color w:val="000000"/>
                <w:sz w:val="20"/>
                <w:szCs w:val="20"/>
                <w:shd w:fill="auto" w:val="clear"/>
                <w:lang w:eastAsia="lt-LT"/>
              </w:rPr>
              <w:t>STR 2.06.04:2014</w:t>
            </w:r>
          </w:p>
        </w:tc>
        <w:tc>
          <w:tcPr>
            <w:tcW w:w="6687" w:type="dxa"/>
            <w:tcBorders>
              <w:top w:val="single" w:sz="4" w:space="0" w:color="000000"/>
              <w:left w:val="single" w:sz="4" w:space="0" w:color="000000"/>
              <w:bottom w:val="single" w:sz="4" w:space="0" w:color="000000"/>
              <w:right w:val="single" w:sz="4" w:space="0" w:color="000000"/>
            </w:tcBorders>
            <w:vAlign w:val="center"/>
          </w:tcPr>
          <w:p>
            <w:pPr>
              <w:pStyle w:val="Normal"/>
              <w:spacing w:before="0" w:after="200"/>
              <w:rPr>
                <w:color w:val="auto"/>
              </w:rPr>
            </w:pPr>
            <w:r>
              <w:rPr>
                <w:rFonts w:eastAsia="Calibri" w:cs="Arial" w:ascii="Arial" w:hAnsi="Arial"/>
                <w:color w:val="000000"/>
                <w:sz w:val="20"/>
                <w:szCs w:val="20"/>
                <w:shd w:fill="auto" w:val="clear"/>
                <w:lang w:eastAsia="lt-LT"/>
              </w:rPr>
              <w:t>Gatves ir vietines reikšmes keliai. Bendrieji reikalavimai</w:t>
            </w:r>
          </w:p>
        </w:tc>
      </w:tr>
      <w:tr>
        <w:trPr/>
        <w:tc>
          <w:tcPr>
            <w:tcW w:w="2663" w:type="dxa"/>
            <w:tcBorders>
              <w:top w:val="single" w:sz="4" w:space="0" w:color="000000"/>
              <w:left w:val="single" w:sz="4" w:space="0" w:color="000000"/>
              <w:bottom w:val="single" w:sz="4" w:space="0" w:color="000000"/>
              <w:right w:val="single" w:sz="4" w:space="0" w:color="000000"/>
            </w:tcBorders>
            <w:vAlign w:val="center"/>
          </w:tcPr>
          <w:p>
            <w:pPr>
              <w:pStyle w:val="Normal"/>
              <w:spacing w:before="0" w:after="200"/>
              <w:rPr>
                <w:color w:val="auto"/>
              </w:rPr>
            </w:pPr>
            <w:r>
              <w:rPr>
                <w:rFonts w:ascii="Arial" w:hAnsi="Arial"/>
                <w:color w:val="000000"/>
                <w:sz w:val="20"/>
                <w:szCs w:val="20"/>
                <w:shd w:fill="auto" w:val="clear"/>
              </w:rPr>
              <w:t>MN GEOSINT ŽD 13</w:t>
            </w:r>
          </w:p>
        </w:tc>
        <w:tc>
          <w:tcPr>
            <w:tcW w:w="6687" w:type="dxa"/>
            <w:tcBorders>
              <w:top w:val="single" w:sz="4" w:space="0" w:color="000000"/>
              <w:left w:val="single" w:sz="4" w:space="0" w:color="000000"/>
              <w:bottom w:val="single" w:sz="4" w:space="0" w:color="000000"/>
              <w:right w:val="single" w:sz="4" w:space="0" w:color="000000"/>
            </w:tcBorders>
            <w:vAlign w:val="center"/>
          </w:tcPr>
          <w:p>
            <w:pPr>
              <w:pStyle w:val="Normal"/>
              <w:spacing w:before="0" w:after="200"/>
              <w:rPr>
                <w:color w:val="auto"/>
              </w:rPr>
            </w:pPr>
            <w:r>
              <w:rPr>
                <w:rFonts w:ascii="Arial" w:hAnsi="Arial"/>
                <w:color w:val="000000"/>
                <w:sz w:val="20"/>
                <w:szCs w:val="20"/>
                <w:shd w:fill="auto" w:val="clear"/>
              </w:rPr>
              <w:t>Geosintetikos, naudojamos žemės darbams keliuose, metodiniuose nurodymuose</w:t>
            </w:r>
          </w:p>
        </w:tc>
      </w:tr>
      <w:tr>
        <w:trPr/>
        <w:tc>
          <w:tcPr>
            <w:tcW w:w="2663" w:type="dxa"/>
            <w:tcBorders>
              <w:top w:val="single" w:sz="4" w:space="0" w:color="000000"/>
              <w:left w:val="single" w:sz="4" w:space="0" w:color="000000"/>
              <w:bottom w:val="single" w:sz="4" w:space="0" w:color="000000"/>
              <w:right w:val="single" w:sz="4" w:space="0" w:color="000000"/>
            </w:tcBorders>
            <w:vAlign w:val="center"/>
          </w:tcPr>
          <w:p>
            <w:pPr>
              <w:pStyle w:val="Normal"/>
              <w:spacing w:before="0" w:after="200"/>
              <w:rPr>
                <w:color w:val="auto"/>
              </w:rPr>
            </w:pPr>
            <w:r>
              <w:rPr>
                <w:rFonts w:ascii="Arial" w:hAnsi="Arial"/>
                <w:color w:val="000000"/>
                <w:sz w:val="20"/>
                <w:szCs w:val="20"/>
                <w:shd w:fill="auto" w:val="clear"/>
              </w:rPr>
              <w:t>TRA UŽPILDAI 19</w:t>
            </w:r>
          </w:p>
        </w:tc>
        <w:tc>
          <w:tcPr>
            <w:tcW w:w="6687" w:type="dxa"/>
            <w:tcBorders>
              <w:top w:val="single" w:sz="4" w:space="0" w:color="000000"/>
              <w:left w:val="single" w:sz="4" w:space="0" w:color="000000"/>
              <w:bottom w:val="single" w:sz="4" w:space="0" w:color="000000"/>
              <w:right w:val="single" w:sz="4" w:space="0" w:color="000000"/>
            </w:tcBorders>
            <w:vAlign w:val="center"/>
          </w:tcPr>
          <w:p>
            <w:pPr>
              <w:pStyle w:val="Normal"/>
              <w:spacing w:before="0" w:after="200"/>
              <w:rPr>
                <w:color w:val="auto"/>
              </w:rPr>
            </w:pPr>
            <w:r>
              <w:rPr>
                <w:rFonts w:ascii="Arial" w:hAnsi="Arial"/>
                <w:color w:val="000000"/>
                <w:sz w:val="20"/>
                <w:szCs w:val="20"/>
                <w:shd w:fill="auto" w:val="clear"/>
              </w:rPr>
              <w:t>Automobilių kelių mineralinių medžiagų techninių reikalavimų aprašas.</w:t>
            </w:r>
          </w:p>
        </w:tc>
      </w:tr>
      <w:tr>
        <w:trPr/>
        <w:tc>
          <w:tcPr>
            <w:tcW w:w="2663" w:type="dxa"/>
            <w:tcBorders>
              <w:top w:val="single" w:sz="4" w:space="0" w:color="000000"/>
              <w:left w:val="single" w:sz="4" w:space="0" w:color="000000"/>
              <w:bottom w:val="single" w:sz="4" w:space="0" w:color="000000"/>
              <w:right w:val="single" w:sz="4" w:space="0" w:color="000000"/>
            </w:tcBorders>
            <w:vAlign w:val="center"/>
          </w:tcPr>
          <w:p>
            <w:pPr>
              <w:pStyle w:val="Normal"/>
              <w:spacing w:before="0" w:after="200"/>
              <w:rPr>
                <w:color w:val="auto"/>
              </w:rPr>
            </w:pPr>
            <w:r>
              <w:rPr>
                <w:rFonts w:ascii="Arial" w:hAnsi="Arial"/>
                <w:color w:val="000000"/>
                <w:sz w:val="20"/>
                <w:szCs w:val="20"/>
                <w:shd w:fill="auto" w:val="clear"/>
              </w:rPr>
              <w:t>KPT VNS 16</w:t>
            </w:r>
          </w:p>
        </w:tc>
        <w:tc>
          <w:tcPr>
            <w:tcW w:w="6687" w:type="dxa"/>
            <w:tcBorders>
              <w:top w:val="single" w:sz="4" w:space="0" w:color="000000"/>
              <w:left w:val="single" w:sz="4" w:space="0" w:color="000000"/>
              <w:bottom w:val="single" w:sz="4" w:space="0" w:color="000000"/>
              <w:right w:val="single" w:sz="4" w:space="0" w:color="000000"/>
            </w:tcBorders>
            <w:vAlign w:val="center"/>
          </w:tcPr>
          <w:p>
            <w:pPr>
              <w:pStyle w:val="Normal"/>
              <w:spacing w:before="0" w:after="200"/>
              <w:rPr>
                <w:color w:val="auto"/>
              </w:rPr>
            </w:pPr>
            <w:r>
              <w:rPr>
                <w:rFonts w:ascii="Arial" w:hAnsi="Arial"/>
                <w:color w:val="000000"/>
                <w:sz w:val="20"/>
                <w:szCs w:val="20"/>
                <w:shd w:fill="auto" w:val="clear"/>
              </w:rPr>
              <w:t>Automobilių kelių vandens nuleidimo sistemų projektavimo taisyklės</w:t>
            </w:r>
          </w:p>
        </w:tc>
      </w:tr>
      <w:tr>
        <w:trPr/>
        <w:tc>
          <w:tcPr>
            <w:tcW w:w="2663" w:type="dxa"/>
            <w:tcBorders>
              <w:top w:val="single" w:sz="4" w:space="0" w:color="000000"/>
              <w:left w:val="single" w:sz="4" w:space="0" w:color="000000"/>
              <w:bottom w:val="single" w:sz="4" w:space="0" w:color="000000"/>
              <w:right w:val="single" w:sz="4" w:space="0" w:color="000000"/>
            </w:tcBorders>
            <w:vAlign w:val="center"/>
          </w:tcPr>
          <w:p>
            <w:pPr>
              <w:pStyle w:val="Normal"/>
              <w:spacing w:before="0" w:after="200"/>
              <w:rPr>
                <w:color w:val="auto"/>
              </w:rPr>
            </w:pPr>
            <w:r>
              <w:rPr>
                <w:rFonts w:ascii="Arial" w:hAnsi="Arial"/>
                <w:color w:val="000000"/>
                <w:sz w:val="20"/>
                <w:szCs w:val="20"/>
                <w:shd w:fill="auto" w:val="clear"/>
              </w:rPr>
              <w:t>ĮT ŽS 17</w:t>
            </w:r>
          </w:p>
        </w:tc>
        <w:tc>
          <w:tcPr>
            <w:tcW w:w="6687" w:type="dxa"/>
            <w:tcBorders>
              <w:top w:val="single" w:sz="4" w:space="0" w:color="000000"/>
              <w:left w:val="single" w:sz="4" w:space="0" w:color="000000"/>
              <w:bottom w:val="single" w:sz="4" w:space="0" w:color="000000"/>
              <w:right w:val="single" w:sz="4" w:space="0" w:color="000000"/>
            </w:tcBorders>
            <w:vAlign w:val="center"/>
          </w:tcPr>
          <w:p>
            <w:pPr>
              <w:pStyle w:val="Normal"/>
              <w:spacing w:before="0" w:after="200"/>
              <w:rPr>
                <w:color w:val="auto"/>
              </w:rPr>
            </w:pPr>
            <w:r>
              <w:rPr>
                <w:rFonts w:ascii="Arial" w:hAnsi="Arial"/>
                <w:color w:val="000000"/>
                <w:sz w:val="20"/>
                <w:szCs w:val="20"/>
                <w:shd w:fill="auto" w:val="clear"/>
              </w:rPr>
              <w:t>Automobilių kelių žemės darbų ir sankasos įrengimas</w:t>
            </w:r>
          </w:p>
        </w:tc>
      </w:tr>
    </w:tbl>
    <w:p>
      <w:pPr>
        <w:pStyle w:val="Paprtekstas"/>
        <w:widowControl/>
        <w:suppressAutoHyphens w:val="true"/>
        <w:bidi w:val="0"/>
        <w:spacing w:lineRule="auto" w:line="276"/>
        <w:rPr>
          <w:rFonts w:eastAsia="Times New Roman" w:cs="Times New Roman"/>
          <w:color w:val="auto"/>
          <w:kern w:val="0"/>
          <w:szCs w:val="24"/>
          <w:highlight w:val="none"/>
          <w:shd w:fill="auto" w:val="clear"/>
          <w:lang w:val="lt-LT" w:eastAsia="en-US" w:bidi="ar-SA"/>
        </w:rPr>
      </w:pPr>
      <w:r>
        <w:rPr>
          <w:rFonts w:eastAsia="Times New Roman" w:cs="Times New Roman"/>
          <w:color w:val="auto"/>
          <w:kern w:val="0"/>
          <w:szCs w:val="24"/>
          <w:shd w:fill="auto" w:val="clear"/>
          <w:lang w:val="lt-LT" w:eastAsia="en-US" w:bidi="ar-SA"/>
        </w:rPr>
      </w:r>
    </w:p>
    <w:p>
      <w:pPr>
        <w:pStyle w:val="Paprtekstas"/>
        <w:widowControl/>
        <w:suppressAutoHyphens w:val="true"/>
        <w:bidi w:val="0"/>
        <w:spacing w:lineRule="auto" w:line="276"/>
        <w:ind w:hanging="0"/>
        <w:rPr>
          <w:color w:val="auto"/>
        </w:rPr>
      </w:pPr>
      <w:r>
        <w:rPr>
          <w:rFonts w:eastAsia="Times New Roman" w:cs="Times New Roman"/>
          <w:b/>
          <w:bCs/>
          <w:color w:val="000000"/>
          <w:kern w:val="0"/>
          <w:sz w:val="22"/>
          <w:szCs w:val="22"/>
          <w:shd w:fill="auto" w:val="clear"/>
          <w:lang w:val="lt-LT" w:eastAsia="en-US" w:bidi="ar-SA"/>
        </w:rPr>
        <w:t>3.4.  Nesurištų mineralinių medžiagų sluoksniai</w:t>
      </w:r>
    </w:p>
    <w:p>
      <w:pPr>
        <w:pStyle w:val="Paprtekstas"/>
        <w:widowControl/>
        <w:suppressAutoHyphens w:val="true"/>
        <w:bidi w:val="0"/>
        <w:spacing w:lineRule="auto" w:line="276"/>
        <w:ind w:hanging="0"/>
        <w:rPr>
          <w:color w:val="auto"/>
        </w:rPr>
      </w:pPr>
      <w:r>
        <w:rPr>
          <w:rFonts w:eastAsia="Times New Roman" w:cs="Times New Roman"/>
          <w:color w:val="000000"/>
          <w:kern w:val="0"/>
          <w:szCs w:val="24"/>
          <w:shd w:fill="auto" w:val="clear"/>
          <w:lang w:val="lt-LT" w:eastAsia="en-US" w:bidi="ar-SA"/>
        </w:rPr>
        <w:tab/>
        <w:t>TS skyrius parengtas pagal Automobilių kelių mineralinių medžiagų techninių reikalavimų aprašo TRA UŽPILDAI 19 (toliau – TRA UŽPILDAI 19), Automobilių kelių mineralinių medžiagų mišinių, naudojamų sluoksniams be rišiklių, techninių reikalavimų aprašo TRA SBR 19 (toliau – TRA SBR 19), Automobilių kelių dangos konstrukcijos sluoksnių be rišiklių įrengimo taisyklių ĮT SBR 19 (toliau – ĮT SBR 19), galiojančių Lietuvos standartų (LST) ir kitų normatyvinių statybos techninių dokumentų reikalavimus.</w:t>
      </w:r>
    </w:p>
    <w:p>
      <w:pPr>
        <w:pStyle w:val="Paprtekstas"/>
        <w:widowControl/>
        <w:suppressAutoHyphens w:val="true"/>
        <w:bidi w:val="0"/>
        <w:spacing w:lineRule="auto" w:line="276"/>
        <w:ind w:hanging="0"/>
        <w:rPr>
          <w:color w:val="auto"/>
        </w:rPr>
      </w:pPr>
      <w:r>
        <w:rPr>
          <w:rFonts w:eastAsia="Times New Roman" w:cs="Times New Roman"/>
          <w:color w:val="000000"/>
          <w:kern w:val="0"/>
          <w:szCs w:val="24"/>
          <w:shd w:fill="auto" w:val="clear"/>
          <w:lang w:val="lt-LT" w:eastAsia="en-US" w:bidi="ar-SA"/>
        </w:rPr>
        <w:tab/>
        <w:t>Remiantis geologiniais tyrimais, jų išvadomis ir rekomendacijomis parenkami nesurištų mineralinių medžiagų sluoksniai.</w:t>
      </w:r>
    </w:p>
    <w:p>
      <w:pPr>
        <w:pStyle w:val="Paprtekstas"/>
        <w:widowControl/>
        <w:suppressAutoHyphens w:val="true"/>
        <w:bidi w:val="0"/>
        <w:spacing w:lineRule="auto" w:line="276"/>
        <w:ind w:hanging="0"/>
        <w:rPr>
          <w:color w:val="auto"/>
        </w:rPr>
      </w:pPr>
      <w:r>
        <w:rPr>
          <w:rFonts w:eastAsia="Times New Roman" w:cs="Times New Roman"/>
          <w:color w:val="000000"/>
          <w:kern w:val="0"/>
          <w:szCs w:val="24"/>
          <w:shd w:fill="auto" w:val="clear"/>
          <w:lang w:val="lt-LT" w:eastAsia="en-US" w:bidi="ar-SA"/>
        </w:rPr>
        <w:t>Geologinių tyrimų išvados ir rekomendacijos:</w:t>
      </w:r>
    </w:p>
    <w:p>
      <w:pPr>
        <w:pStyle w:val="Paprtekstas"/>
        <w:widowControl/>
        <w:suppressAutoHyphens w:val="true"/>
        <w:bidi w:val="0"/>
        <w:spacing w:lineRule="auto" w:line="276"/>
        <w:ind w:hanging="0"/>
        <w:rPr>
          <w:rFonts w:eastAsia="Times New Roman" w:cs="Times New Roman"/>
          <w:color w:val="000000"/>
          <w:kern w:val="0"/>
          <w:szCs w:val="24"/>
          <w:shd w:fill="auto" w:val="clear"/>
          <w:lang w:val="lt-LT" w:eastAsia="en-US" w:bidi="ar-SA"/>
        </w:rPr>
      </w:pPr>
      <w:r>
        <w:rPr>
          <w:rFonts w:eastAsia="Times New Roman" w:cs="Times New Roman"/>
          <w:color w:val="000000"/>
          <w:kern w:val="0"/>
          <w:szCs w:val="24"/>
          <w:shd w:fill="auto" w:val="clear"/>
          <w:lang w:val="lt-LT" w:eastAsia="en-US" w:bidi="ar-SA"/>
        </w:rPr>
        <w:t>1.  Geomorfologinės sąlygos tyrimų ruože yra paprastos, nors buvęs natūralus paviršius visame plote yra pakeistas planingai supiltais gruntais, bet jų storis nedidelis. Sudėtingų reljefo formų dėl kurių reikėtų imtis netradicinių sprendimų rekonstruojant estradą nėra.</w:t>
      </w:r>
    </w:p>
    <w:p>
      <w:pPr>
        <w:pStyle w:val="Paprtekstas"/>
        <w:widowControl/>
        <w:suppressAutoHyphens w:val="true"/>
        <w:bidi w:val="0"/>
        <w:spacing w:lineRule="auto" w:line="276"/>
        <w:ind w:hanging="0"/>
        <w:rPr>
          <w:rFonts w:eastAsia="Times New Roman" w:cs="Times New Roman"/>
          <w:color w:val="000000"/>
          <w:kern w:val="0"/>
          <w:szCs w:val="24"/>
          <w:shd w:fill="auto" w:val="clear"/>
          <w:lang w:val="lt-LT" w:eastAsia="en-US" w:bidi="ar-SA"/>
        </w:rPr>
      </w:pPr>
      <w:r>
        <w:rPr>
          <w:rFonts w:eastAsia="Times New Roman" w:cs="Times New Roman"/>
          <w:color w:val="000000"/>
          <w:kern w:val="0"/>
          <w:szCs w:val="24"/>
          <w:shd w:fill="auto" w:val="clear"/>
          <w:lang w:val="lt-LT" w:eastAsia="en-US" w:bidi="ar-SA"/>
        </w:rPr>
        <w:t>2.  Inžinerinės geologinės sąlygos yra vidutinės. Tyrimų metu išskirti 4 stratigrafiniai–genetiniai sluoksniai ir 7 inžineriniai geologiniai sluoksniai. Viršutinius geologinio pjūvio sluoksnius sudaro planingai supilti purūs gruntai (IGS Nr.1a-2b), giliau nuo 0,2-1,0 m gylio sudaro tankūs eoliniai smėliai (IGS Nr.3).</w:t>
      </w:r>
    </w:p>
    <w:p>
      <w:pPr>
        <w:pStyle w:val="Paprtekstas"/>
        <w:widowControl/>
        <w:suppressAutoHyphens w:val="true"/>
        <w:bidi w:val="0"/>
        <w:spacing w:lineRule="auto" w:line="276"/>
        <w:ind w:hanging="0"/>
        <w:rPr>
          <w:rFonts w:eastAsia="Times New Roman" w:cs="Times New Roman"/>
          <w:color w:val="000000"/>
          <w:kern w:val="0"/>
          <w:szCs w:val="24"/>
          <w:shd w:fill="auto" w:val="clear"/>
          <w:lang w:val="lt-LT" w:eastAsia="en-US" w:bidi="ar-SA"/>
        </w:rPr>
      </w:pPr>
      <w:r>
        <w:rPr>
          <w:rFonts w:eastAsia="Times New Roman" w:cs="Times New Roman"/>
          <w:color w:val="000000"/>
          <w:kern w:val="0"/>
          <w:szCs w:val="24"/>
          <w:shd w:fill="auto" w:val="clear"/>
          <w:lang w:val="lt-LT" w:eastAsia="en-US" w:bidi="ar-SA"/>
        </w:rPr>
        <w:t>3.  Hidrogeologinės sąlygos yra vidutinio sudėtingumo, gruntinis vanduo stebėtas nuo 0,9–3,5 m gylių (abs.a. 13,6-15,0 m). Jeigu planuoja įsigilinti žemiau 13-15 m altitudės vyks požeminio vandens pritekėjimas į laikinas tranšėjas. Gruntinio vandens lygis žemėja į pietus.</w:t>
      </w:r>
    </w:p>
    <w:p>
      <w:pPr>
        <w:pStyle w:val="Paprtekstas"/>
        <w:widowControl/>
        <w:suppressAutoHyphens w:val="true"/>
        <w:bidi w:val="0"/>
        <w:spacing w:lineRule="auto" w:line="276"/>
        <w:ind w:hanging="0"/>
        <w:rPr>
          <w:rFonts w:eastAsia="Times New Roman" w:cs="Times New Roman"/>
          <w:color w:val="000000"/>
          <w:kern w:val="0"/>
          <w:szCs w:val="24"/>
          <w:shd w:fill="auto" w:val="clear"/>
          <w:lang w:val="lt-LT" w:eastAsia="en-US" w:bidi="ar-SA"/>
        </w:rPr>
      </w:pPr>
      <w:r>
        <w:rPr>
          <w:rFonts w:eastAsia="Times New Roman" w:cs="Times New Roman"/>
          <w:color w:val="000000"/>
          <w:kern w:val="0"/>
          <w:szCs w:val="24"/>
          <w:shd w:fill="auto" w:val="clear"/>
          <w:lang w:val="lt-LT" w:eastAsia="en-US" w:bidi="ar-SA"/>
        </w:rPr>
        <w:t>4.  Rytinės tribūnos pylimą sudaro iki 7,0-8,0 m gylio sudaro labai purūs arba purūs smėliai. Rekonstrukcijos metu pagal galimybes supiltus smėlius rekomenduojame papildomai sutankinti. Atkreipti dėmesį į supiltą molingą smėlį (IGS Nr.2a-2b), šis gruntas jautrus vibracijoms.</w:t>
      </w:r>
    </w:p>
    <w:p>
      <w:pPr>
        <w:pStyle w:val="Paprtekstas"/>
        <w:widowControl/>
        <w:suppressAutoHyphens w:val="true"/>
        <w:bidi w:val="0"/>
        <w:spacing w:lineRule="auto" w:line="276"/>
        <w:ind w:hanging="0"/>
        <w:rPr>
          <w:color w:val="auto"/>
        </w:rPr>
      </w:pPr>
      <w:r>
        <w:rPr>
          <w:rFonts w:eastAsia="Times New Roman" w:cs="Times New Roman"/>
          <w:color w:val="000000"/>
          <w:kern w:val="0"/>
          <w:szCs w:val="24"/>
          <w:shd w:fill="auto" w:val="clear"/>
          <w:lang w:val="lt-LT" w:eastAsia="en-US" w:bidi="ar-SA"/>
        </w:rPr>
        <w:tab/>
        <w:t>TS skyriuje išdėstyti reikalavimai kelio pagrindų sluoksnių medžiagoms ir jų mišiniams, šių medžiagų ir mišinių paruošimui, pagrindų sluoksnių įrengimui, darbų kontrolei ir priėmimui.</w:t>
      </w:r>
    </w:p>
    <w:p>
      <w:pPr>
        <w:pStyle w:val="2LVL"/>
        <w:numPr>
          <w:ilvl w:val="0"/>
          <w:numId w:val="0"/>
        </w:numPr>
        <w:ind w:hanging="0" w:left="851"/>
        <w:jc w:val="both"/>
        <w:rPr>
          <w:color w:val="auto"/>
        </w:rPr>
      </w:pPr>
      <w:bookmarkStart w:id="85" w:name="_Toc447625347"/>
      <w:bookmarkStart w:id="86" w:name="_Toc447615316"/>
      <w:bookmarkStart w:id="87" w:name="_Toc447027596"/>
      <w:bookmarkStart w:id="88" w:name="_Toc359495674"/>
      <w:bookmarkStart w:id="89" w:name="_Toc472507911"/>
      <w:bookmarkStart w:id="90" w:name="_Toc472684337"/>
      <w:bookmarkStart w:id="91" w:name="_Toc475344737"/>
      <w:bookmarkStart w:id="92" w:name="_Toc480383905"/>
      <w:bookmarkStart w:id="93" w:name="_Toc491948614"/>
      <w:bookmarkStart w:id="94" w:name="_Toc520294625"/>
      <w:bookmarkStart w:id="95" w:name="_Toc30509153"/>
      <w:bookmarkStart w:id="96" w:name="_Toc152921786"/>
      <w:r>
        <w:rPr>
          <w:b w:val="false"/>
          <w:bCs w:val="false"/>
          <w:i/>
          <w:iCs/>
          <w:color w:val="000000"/>
          <w:u w:val="single"/>
          <w:shd w:fill="auto" w:val="clear"/>
        </w:rPr>
        <w:t>Medžiagos</w:t>
      </w:r>
      <w:bookmarkEnd w:id="85"/>
      <w:bookmarkEnd w:id="86"/>
      <w:bookmarkEnd w:id="87"/>
      <w:bookmarkEnd w:id="88"/>
      <w:bookmarkEnd w:id="89"/>
      <w:bookmarkEnd w:id="90"/>
      <w:bookmarkEnd w:id="91"/>
      <w:bookmarkEnd w:id="92"/>
      <w:bookmarkEnd w:id="93"/>
      <w:bookmarkEnd w:id="94"/>
      <w:bookmarkEnd w:id="95"/>
      <w:bookmarkEnd w:id="96"/>
    </w:p>
    <w:p>
      <w:pPr>
        <w:pStyle w:val="Normal"/>
        <w:spacing w:lineRule="auto" w:line="276"/>
        <w:ind w:firstLine="709"/>
        <w:jc w:val="both"/>
        <w:rPr>
          <w:color w:val="auto"/>
        </w:rPr>
      </w:pPr>
      <w:r>
        <w:rPr>
          <w:rFonts w:ascii="Arial" w:hAnsi="Arial"/>
          <w:color w:val="000000"/>
          <w:sz w:val="20"/>
          <w:shd w:fill="auto" w:val="clear"/>
        </w:rPr>
        <w:t>Apsauginis šalčiui atsparus sluoksnis (toliau – AŠAS) rengiamas po automobilių važiuojamąja dalimi bei dangomis pitaikytomis sunkiajam transportui, pėsčiųjų, dviračuų takais takais.</w:t>
      </w:r>
    </w:p>
    <w:p>
      <w:pPr>
        <w:pStyle w:val="Normal"/>
        <w:spacing w:lineRule="auto" w:line="276"/>
        <w:ind w:firstLine="709"/>
        <w:jc w:val="both"/>
        <w:rPr>
          <w:color w:val="auto"/>
        </w:rPr>
      </w:pPr>
      <w:r>
        <w:rPr>
          <w:rFonts w:ascii="Arial" w:hAnsi="Arial"/>
          <w:color w:val="000000"/>
          <w:sz w:val="20"/>
          <w:shd w:fill="auto" w:val="clear"/>
        </w:rPr>
        <w:t>Šalčiui nejautrių medžiagų sluoksnis (toliau – ŠNS) rengiamas po pėsčiųjų, dviratininkų takais, kurie pritaikyti važiuoti sunkiajam transportui. Šalčiui nejautriam sluoksniui gali būti naudojamos kartotinio panaudojimo medžiagos.</w:t>
      </w:r>
    </w:p>
    <w:p>
      <w:pPr>
        <w:pStyle w:val="Normal"/>
        <w:spacing w:lineRule="auto" w:line="276"/>
        <w:ind w:firstLine="709"/>
        <w:jc w:val="both"/>
        <w:rPr>
          <w:color w:val="auto"/>
        </w:rPr>
      </w:pPr>
      <w:r>
        <w:rPr>
          <w:rFonts w:ascii="Arial" w:hAnsi="Arial"/>
          <w:color w:val="000000"/>
          <w:sz w:val="20"/>
          <w:shd w:fill="auto" w:val="clear"/>
        </w:rPr>
        <w:t>Skaldos pagrindo sluoksnis (toliau – SPS) naudojamas po automobilių važiuojamąja dalimi, pėsčiųjų, dviratininkų takais ir kt. SPS įrengti naudojamas nesurištųjų mineralinių medžiagų mišinys fr. 0/45. Įrengto pagrindo sluoksnio deformacijos modulis E</w:t>
      </w:r>
      <w:r>
        <w:rPr>
          <w:rFonts w:ascii="Arial" w:hAnsi="Arial"/>
          <w:color w:val="000000"/>
          <w:sz w:val="20"/>
          <w:shd w:fill="auto" w:val="clear"/>
          <w:vertAlign w:val="subscript"/>
        </w:rPr>
        <w:t>v2</w:t>
      </w:r>
      <w:r>
        <w:rPr>
          <w:rFonts w:ascii="Arial" w:hAnsi="Arial"/>
          <w:color w:val="000000"/>
          <w:sz w:val="20"/>
          <w:shd w:fill="auto" w:val="clear"/>
        </w:rPr>
        <w:t xml:space="preserve"> turi būti ≥100 - ≥150 MPa (Žr. Brėžinyje Dangų detalės).</w:t>
      </w:r>
    </w:p>
    <w:p>
      <w:pPr>
        <w:pStyle w:val="Normal"/>
        <w:spacing w:lineRule="auto" w:line="276"/>
        <w:ind w:firstLine="709"/>
        <w:jc w:val="both"/>
        <w:rPr>
          <w:color w:val="auto"/>
        </w:rPr>
      </w:pPr>
      <w:r>
        <w:rPr>
          <w:rFonts w:ascii="Arial" w:hAnsi="Arial"/>
          <w:color w:val="000000"/>
          <w:sz w:val="20"/>
          <w:shd w:fill="auto" w:val="clear"/>
        </w:rPr>
        <w:t xml:space="preserve">SPS ir AŠAS arba ŠNS naudojamos medžiagos turi atitikti TRA SBR 19 ir TRA UŽPILDAI 19 keliamus reikalavimus. </w:t>
      </w:r>
    </w:p>
    <w:p>
      <w:pPr>
        <w:pStyle w:val="Normal"/>
        <w:spacing w:lineRule="auto" w:line="276"/>
        <w:ind w:firstLine="709"/>
        <w:jc w:val="both"/>
        <w:rPr>
          <w:color w:val="auto"/>
        </w:rPr>
      </w:pPr>
      <w:bookmarkStart w:id="97" w:name="_Hlk90387434"/>
      <w:r>
        <w:rPr>
          <w:rFonts w:ascii="Arial" w:hAnsi="Arial"/>
          <w:color w:val="000000"/>
          <w:sz w:val="20"/>
          <w:shd w:fill="auto" w:val="clear"/>
        </w:rPr>
        <w:t xml:space="preserve">Pasluoksniui įrengti naudojami 0/4, 0/5, 0/8 ir 0/11 nesurištieji mineralinių medžiagų mišiniai </w:t>
      </w:r>
      <w:bookmarkEnd w:id="97"/>
      <w:r>
        <w:rPr>
          <w:rFonts w:ascii="Arial" w:hAnsi="Arial"/>
          <w:color w:val="000000"/>
          <w:sz w:val="20"/>
          <w:shd w:fill="auto" w:val="clear"/>
        </w:rPr>
        <w:t>ir turi tenkinti LST EN 13285 arba lygiaverčio reikalavimus, bei TRA TRINKELĖS 14 VII skyriaus II skirsnio reikalavimus. Pasluoksnio medžiaga turi būti vienalytiškai permaišyta ir vienalytiškai sudrėkinta reikiamu vandens kiekiu, kuris užtikrina geras klojimo ir sutankinimo sąlygas. Sutankintos būklės pasluoksnio storis turi būti nuo 3 iki 5 cm.</w:t>
      </w:r>
    </w:p>
    <w:p>
      <w:pPr>
        <w:pStyle w:val="Normal"/>
        <w:spacing w:lineRule="auto" w:line="276"/>
        <w:ind w:firstLine="709"/>
        <w:jc w:val="both"/>
        <w:rPr>
          <w:color w:val="auto"/>
        </w:rPr>
      </w:pPr>
      <w:r>
        <w:rPr>
          <w:rFonts w:ascii="Arial" w:hAnsi="Arial"/>
          <w:color w:val="000000"/>
          <w:sz w:val="20"/>
          <w:shd w:fill="auto" w:val="clear"/>
        </w:rPr>
        <w:t>Nesurištųjų mišinių pralaidumas vandeniui turi tenkinti ĮT SBR 19 ir TRA SBR 19 keliamus reikalavimus.</w:t>
      </w:r>
    </w:p>
    <w:p>
      <w:pPr>
        <w:pStyle w:val="BodyText"/>
        <w:spacing w:lineRule="auto" w:line="276"/>
        <w:ind w:firstLine="709"/>
        <w:jc w:val="both"/>
        <w:rPr>
          <w:color w:val="auto"/>
        </w:rPr>
      </w:pPr>
      <w:r>
        <w:rPr>
          <w:rFonts w:ascii="Arial" w:hAnsi="Arial"/>
          <w:b w:val="false"/>
          <w:i w:val="false"/>
          <w:caps w:val="false"/>
          <w:smallCaps w:val="false"/>
          <w:color w:val="000000"/>
          <w:spacing w:val="0"/>
          <w:sz w:val="20"/>
          <w:shd w:fill="auto" w:val="clear"/>
          <w:lang w:val="lt-LT"/>
        </w:rPr>
        <w:t>Gruntinis vanduo iš konstrukcijos pašalinamas įrengiant konstrukcinį drenažą. Konstrukcinis drenažas pajungiamas į LVN dalyje rengiamus lietaus šulinėlius.</w:t>
      </w:r>
    </w:p>
    <w:p>
      <w:pPr>
        <w:pStyle w:val="3LVL"/>
        <w:keepLines/>
        <w:widowControl/>
        <w:numPr>
          <w:ilvl w:val="0"/>
          <w:numId w:val="0"/>
        </w:numPr>
        <w:suppressAutoHyphens w:val="true"/>
        <w:bidi w:val="0"/>
        <w:spacing w:lineRule="auto" w:line="276"/>
        <w:ind w:hanging="0" w:left="360"/>
        <w:jc w:val="left"/>
        <w:outlineLvl w:val="2"/>
        <w:rPr>
          <w:rFonts w:eastAsia="Times New Roman" w:cs="Times New Roman"/>
          <w:b w:val="false"/>
          <w:bCs w:val="false"/>
          <w:color w:val="auto"/>
          <w:kern w:val="0"/>
          <w:szCs w:val="24"/>
          <w:u w:val="single"/>
          <w:lang w:val="lt-LT" w:eastAsia="en-US" w:bidi="ar-SA"/>
        </w:rPr>
      </w:pPr>
      <w:r>
        <w:rPr>
          <w:rFonts w:eastAsia="Times New Roman" w:cs="Times New Roman"/>
          <w:b w:val="false"/>
          <w:bCs w:val="false"/>
          <w:color w:val="auto"/>
          <w:kern w:val="0"/>
          <w:szCs w:val="24"/>
          <w:u w:val="single"/>
          <w:lang w:val="lt-LT" w:eastAsia="en-US" w:bidi="ar-SA"/>
        </w:rPr>
        <w:t xml:space="preserve">Geotekstilės, skirtos gruntų atskyrimui techninės specifikacijos </w:t>
      </w:r>
      <w:r>
        <w:rPr>
          <w:rFonts w:eastAsia="Times New Roman" w:cs="Times New Roman"/>
          <w:b w:val="false"/>
          <w:bCs w:val="false"/>
          <w:color w:val="auto"/>
          <w:kern w:val="0"/>
          <w:szCs w:val="24"/>
          <w:u w:val="none"/>
          <w:lang w:val="lt-LT" w:eastAsia="en-US" w:bidi="ar-SA"/>
        </w:rPr>
        <w:t>(medžiagos turi atitikti pateiktas technines specifikacijas arba naudojamos analogiškos):</w:t>
      </w:r>
    </w:p>
    <w:tbl>
      <w:tblPr>
        <w:tblW w:w="9090" w:type="dxa"/>
        <w:jc w:val="left"/>
        <w:tblInd w:w="108" w:type="dxa"/>
        <w:tblLayout w:type="fixed"/>
        <w:tblCellMar>
          <w:top w:w="28" w:type="dxa"/>
          <w:left w:w="108" w:type="dxa"/>
          <w:bottom w:w="28" w:type="dxa"/>
          <w:right w:w="108" w:type="dxa"/>
        </w:tblCellMar>
      </w:tblPr>
      <w:tblGrid>
        <w:gridCol w:w="4814"/>
        <w:gridCol w:w="4276"/>
      </w:tblGrid>
      <w:tr>
        <w:trPr/>
        <w:tc>
          <w:tcPr>
            <w:tcW w:w="4814" w:type="dxa"/>
            <w:tcBorders>
              <w:top w:val="single" w:sz="8" w:space="0" w:color="000000"/>
              <w:left w:val="single" w:sz="8" w:space="0" w:color="000000"/>
              <w:bottom w:val="single" w:sz="8" w:space="0" w:color="000000"/>
              <w:right w:val="single" w:sz="8" w:space="0" w:color="000000"/>
            </w:tcBorders>
          </w:tcPr>
          <w:p>
            <w:pPr>
              <w:pStyle w:val="Lentelsturinysuser"/>
              <w:spacing w:before="0" w:after="0"/>
              <w:ind w:hanging="0" w:left="0" w:right="0"/>
              <w:rPr>
                <w:rFonts w:ascii="Arial" w:hAnsi="Arial"/>
                <w:b/>
                <w:sz w:val="16"/>
                <w:szCs w:val="16"/>
              </w:rPr>
            </w:pPr>
            <w:r>
              <w:rPr>
                <w:rFonts w:ascii="Arial" w:hAnsi="Arial"/>
                <w:b/>
                <w:sz w:val="16"/>
                <w:szCs w:val="16"/>
              </w:rPr>
              <w:t>Funkcijos</w:t>
            </w:r>
          </w:p>
          <w:p>
            <w:pPr>
              <w:pStyle w:val="Lentelsturinysuser"/>
              <w:spacing w:before="0" w:after="0"/>
              <w:ind w:hanging="0" w:left="0" w:right="0"/>
              <w:rPr>
                <w:rFonts w:ascii="Arial" w:hAnsi="Arial"/>
                <w:b/>
                <w:sz w:val="16"/>
                <w:szCs w:val="16"/>
              </w:rPr>
            </w:pPr>
            <w:r>
              <w:rPr>
                <w:rFonts w:ascii="Arial" w:hAnsi="Arial"/>
                <w:b/>
                <w:sz w:val="16"/>
                <w:szCs w:val="16"/>
              </w:rPr>
              <w:t>Savybės</w:t>
            </w:r>
          </w:p>
        </w:tc>
        <w:tc>
          <w:tcPr>
            <w:tcW w:w="4276" w:type="dxa"/>
            <w:tcBorders>
              <w:top w:val="single" w:sz="8" w:space="0" w:color="000000"/>
              <w:bottom w:val="single" w:sz="8" w:space="0" w:color="000000"/>
              <w:right w:val="single" w:sz="8" w:space="0" w:color="000000"/>
            </w:tcBorders>
            <w:tcMar>
              <w:left w:w="0" w:type="dxa"/>
            </w:tcMar>
            <w:vAlign w:val="center"/>
          </w:tcPr>
          <w:p>
            <w:pPr>
              <w:pStyle w:val="Lentelsturinysuser"/>
              <w:spacing w:before="0" w:after="0"/>
              <w:ind w:hanging="0" w:left="0" w:right="0"/>
              <w:rPr>
                <w:rFonts w:ascii="Arial" w:hAnsi="Arial"/>
                <w:b/>
                <w:sz w:val="16"/>
                <w:szCs w:val="16"/>
              </w:rPr>
            </w:pPr>
            <w:r>
              <w:rPr>
                <w:rFonts w:ascii="Arial" w:hAnsi="Arial"/>
                <w:b/>
                <w:sz w:val="16"/>
                <w:szCs w:val="16"/>
              </w:rPr>
              <w:t>Atskyrimas ir filtravimas (minimalios/maksimalios reikšmės)</w:t>
            </w:r>
          </w:p>
        </w:tc>
      </w:tr>
      <w:tr>
        <w:trPr/>
        <w:tc>
          <w:tcPr>
            <w:tcW w:w="4814" w:type="dxa"/>
            <w:tcBorders>
              <w:bottom w:val="single" w:sz="8" w:space="0" w:color="000000"/>
              <w:right w:val="single" w:sz="8" w:space="0" w:color="000000"/>
            </w:tcBorders>
            <w:tcMar>
              <w:top w:w="0" w:type="dxa"/>
              <w:left w:w="0" w:type="dxa"/>
            </w:tcMar>
          </w:tcPr>
          <w:p>
            <w:pPr>
              <w:pStyle w:val="Lentelsturinysuser"/>
              <w:spacing w:before="0" w:after="0"/>
              <w:ind w:hanging="0" w:left="0" w:right="0"/>
              <w:rPr>
                <w:rFonts w:ascii="Arial" w:hAnsi="Arial"/>
                <w:sz w:val="16"/>
                <w:szCs w:val="16"/>
              </w:rPr>
            </w:pPr>
            <w:r>
              <w:rPr>
                <w:rFonts w:ascii="Arial" w:hAnsi="Arial"/>
                <w:sz w:val="16"/>
                <w:szCs w:val="16"/>
              </w:rPr>
              <w:t>Žaliava</w:t>
            </w:r>
          </w:p>
        </w:tc>
        <w:tc>
          <w:tcPr>
            <w:tcW w:w="4276" w:type="dxa"/>
            <w:tcBorders>
              <w:bottom w:val="single" w:sz="8" w:space="0" w:color="000000"/>
              <w:right w:val="single" w:sz="8" w:space="0" w:color="000000"/>
            </w:tcBorders>
            <w:tcMar>
              <w:top w:w="0" w:type="dxa"/>
              <w:left w:w="0" w:type="dxa"/>
            </w:tcMar>
          </w:tcPr>
          <w:p>
            <w:pPr>
              <w:pStyle w:val="Lentelsturinysuser"/>
              <w:spacing w:before="0" w:after="0"/>
              <w:ind w:hanging="0" w:left="0" w:right="0"/>
              <w:rPr>
                <w:rFonts w:ascii="Arial" w:hAnsi="Arial"/>
                <w:sz w:val="16"/>
                <w:szCs w:val="16"/>
              </w:rPr>
            </w:pPr>
            <w:r>
              <w:rPr>
                <w:rFonts w:ascii="Arial" w:hAnsi="Arial"/>
                <w:sz w:val="16"/>
                <w:szCs w:val="16"/>
              </w:rPr>
              <w:t>PP</w:t>
            </w:r>
          </w:p>
        </w:tc>
      </w:tr>
      <w:tr>
        <w:trPr/>
        <w:tc>
          <w:tcPr>
            <w:tcW w:w="4814" w:type="dxa"/>
            <w:tcBorders>
              <w:bottom w:val="single" w:sz="8" w:space="0" w:color="000000"/>
              <w:right w:val="single" w:sz="8" w:space="0" w:color="000000"/>
            </w:tcBorders>
            <w:tcMar>
              <w:top w:w="0" w:type="dxa"/>
              <w:left w:w="0" w:type="dxa"/>
            </w:tcMar>
          </w:tcPr>
          <w:p>
            <w:pPr>
              <w:pStyle w:val="Lentelsturinysuser"/>
              <w:spacing w:before="0" w:after="0"/>
              <w:ind w:hanging="0" w:left="0" w:right="0"/>
              <w:rPr>
                <w:rFonts w:ascii="Arial" w:hAnsi="Arial"/>
                <w:sz w:val="16"/>
                <w:szCs w:val="16"/>
              </w:rPr>
            </w:pPr>
            <w:r>
              <w:rPr>
                <w:rFonts w:ascii="Arial" w:hAnsi="Arial"/>
                <w:sz w:val="16"/>
                <w:szCs w:val="16"/>
              </w:rPr>
              <w:t>Plotinis svoris</w:t>
            </w:r>
          </w:p>
        </w:tc>
        <w:tc>
          <w:tcPr>
            <w:tcW w:w="4276" w:type="dxa"/>
            <w:tcBorders>
              <w:bottom w:val="single" w:sz="8" w:space="0" w:color="000000"/>
              <w:right w:val="single" w:sz="8" w:space="0" w:color="000000"/>
            </w:tcBorders>
            <w:tcMar>
              <w:top w:w="0" w:type="dxa"/>
              <w:left w:w="0" w:type="dxa"/>
            </w:tcMar>
          </w:tcPr>
          <w:p>
            <w:pPr>
              <w:pStyle w:val="Lentelsturinysuser"/>
              <w:spacing w:before="0" w:after="0"/>
              <w:ind w:hanging="0" w:left="0" w:right="0"/>
              <w:rPr>
                <w:rFonts w:ascii="Arial" w:hAnsi="Arial"/>
                <w:sz w:val="16"/>
                <w:szCs w:val="16"/>
              </w:rPr>
            </w:pPr>
            <w:r>
              <w:rPr>
                <w:rFonts w:ascii="Arial" w:hAnsi="Arial"/>
                <w:sz w:val="16"/>
                <w:szCs w:val="16"/>
              </w:rPr>
              <w:t xml:space="preserve">≥ </w:t>
            </w:r>
            <w:r>
              <w:rPr>
                <w:rFonts w:ascii="Arial" w:hAnsi="Arial"/>
                <w:sz w:val="16"/>
                <w:szCs w:val="16"/>
              </w:rPr>
              <w:t>150 g/m</w:t>
            </w:r>
            <w:r>
              <w:rPr>
                <w:rFonts w:ascii="Arial" w:hAnsi="Arial"/>
                <w:position w:val="5"/>
                <w:sz w:val="16"/>
                <w:szCs w:val="16"/>
              </w:rPr>
              <w:t>2</w:t>
            </w:r>
          </w:p>
        </w:tc>
      </w:tr>
      <w:tr>
        <w:trPr/>
        <w:tc>
          <w:tcPr>
            <w:tcW w:w="4814" w:type="dxa"/>
            <w:tcBorders>
              <w:bottom w:val="single" w:sz="8" w:space="0" w:color="000000"/>
              <w:right w:val="single" w:sz="8" w:space="0" w:color="000000"/>
            </w:tcBorders>
            <w:tcMar>
              <w:top w:w="0" w:type="dxa"/>
              <w:left w:w="0" w:type="dxa"/>
            </w:tcMar>
          </w:tcPr>
          <w:p>
            <w:pPr>
              <w:pStyle w:val="Lentelsturinysuser"/>
              <w:spacing w:before="0" w:after="0"/>
              <w:ind w:hanging="0" w:left="0" w:right="0"/>
              <w:rPr>
                <w:rFonts w:ascii="Arial" w:hAnsi="Arial"/>
                <w:sz w:val="16"/>
                <w:szCs w:val="16"/>
              </w:rPr>
            </w:pPr>
            <w:r>
              <w:rPr>
                <w:rFonts w:ascii="Arial" w:hAnsi="Arial"/>
                <w:sz w:val="16"/>
                <w:szCs w:val="16"/>
              </w:rPr>
              <w:t>Atsparumas statiniam pradūrimui</w:t>
            </w:r>
          </w:p>
        </w:tc>
        <w:tc>
          <w:tcPr>
            <w:tcW w:w="4276" w:type="dxa"/>
            <w:tcBorders>
              <w:bottom w:val="single" w:sz="8" w:space="0" w:color="000000"/>
              <w:right w:val="single" w:sz="8" w:space="0" w:color="000000"/>
            </w:tcBorders>
            <w:tcMar>
              <w:top w:w="0" w:type="dxa"/>
              <w:left w:w="0" w:type="dxa"/>
            </w:tcMar>
          </w:tcPr>
          <w:p>
            <w:pPr>
              <w:pStyle w:val="Lentelsturinysuser"/>
              <w:spacing w:before="0" w:after="0"/>
              <w:ind w:hanging="0" w:left="0" w:right="0"/>
              <w:rPr>
                <w:rFonts w:ascii="Arial" w:hAnsi="Arial"/>
                <w:sz w:val="16"/>
                <w:szCs w:val="16"/>
              </w:rPr>
            </w:pPr>
            <w:r>
              <w:rPr>
                <w:rFonts w:ascii="Arial" w:hAnsi="Arial"/>
                <w:sz w:val="16"/>
                <w:szCs w:val="16"/>
              </w:rPr>
              <w:t xml:space="preserve">≥ </w:t>
            </w:r>
            <w:r>
              <w:rPr>
                <w:rFonts w:ascii="Arial" w:hAnsi="Arial"/>
                <w:sz w:val="16"/>
                <w:szCs w:val="16"/>
              </w:rPr>
              <w:t>2,0 kN</w:t>
            </w:r>
          </w:p>
        </w:tc>
      </w:tr>
      <w:tr>
        <w:trPr/>
        <w:tc>
          <w:tcPr>
            <w:tcW w:w="4814" w:type="dxa"/>
            <w:tcBorders>
              <w:bottom w:val="single" w:sz="8" w:space="0" w:color="000000"/>
              <w:right w:val="single" w:sz="8" w:space="0" w:color="000000"/>
            </w:tcBorders>
            <w:tcMar>
              <w:top w:w="0" w:type="dxa"/>
              <w:left w:w="0" w:type="dxa"/>
            </w:tcMar>
          </w:tcPr>
          <w:p>
            <w:pPr>
              <w:pStyle w:val="Lentelsturinysuser"/>
              <w:spacing w:before="0" w:after="0"/>
              <w:ind w:hanging="0" w:left="0" w:right="0"/>
              <w:rPr>
                <w:rFonts w:ascii="Arial" w:hAnsi="Arial"/>
                <w:sz w:val="16"/>
                <w:szCs w:val="16"/>
              </w:rPr>
            </w:pPr>
            <w:r>
              <w:rPr>
                <w:rFonts w:ascii="Arial" w:hAnsi="Arial"/>
                <w:sz w:val="16"/>
                <w:szCs w:val="16"/>
              </w:rPr>
              <w:t>Stipris tempiant abiem kryptimis</w:t>
            </w:r>
          </w:p>
        </w:tc>
        <w:tc>
          <w:tcPr>
            <w:tcW w:w="4276" w:type="dxa"/>
            <w:tcBorders>
              <w:bottom w:val="single" w:sz="8" w:space="0" w:color="000000"/>
              <w:right w:val="single" w:sz="8" w:space="0" w:color="000000"/>
            </w:tcBorders>
            <w:tcMar>
              <w:top w:w="0" w:type="dxa"/>
              <w:left w:w="0" w:type="dxa"/>
            </w:tcMar>
          </w:tcPr>
          <w:p>
            <w:pPr>
              <w:pStyle w:val="Lentelsturinysuser"/>
              <w:spacing w:before="0" w:after="0"/>
              <w:ind w:hanging="0" w:left="0" w:right="0"/>
              <w:rPr>
                <w:rFonts w:ascii="Arial" w:hAnsi="Arial"/>
                <w:sz w:val="16"/>
                <w:szCs w:val="16"/>
              </w:rPr>
            </w:pPr>
            <w:r>
              <w:rPr>
                <w:rFonts w:ascii="Arial" w:hAnsi="Arial"/>
                <w:sz w:val="16"/>
                <w:szCs w:val="16"/>
              </w:rPr>
              <w:t>F</w:t>
            </w:r>
            <w:r>
              <w:rPr>
                <w:rFonts w:ascii="Arial" w:hAnsi="Arial"/>
                <w:position w:val="-1"/>
                <w:sz w:val="16"/>
                <w:szCs w:val="16"/>
              </w:rPr>
              <w:t>k,5%</w:t>
            </w:r>
            <w:r>
              <w:rPr>
                <w:rFonts w:ascii="Arial" w:hAnsi="Arial"/>
                <w:sz w:val="16"/>
                <w:szCs w:val="16"/>
              </w:rPr>
              <w:t> ≥ 11,0 kN/m</w:t>
            </w:r>
          </w:p>
        </w:tc>
      </w:tr>
      <w:tr>
        <w:trPr/>
        <w:tc>
          <w:tcPr>
            <w:tcW w:w="4814" w:type="dxa"/>
            <w:tcBorders>
              <w:bottom w:val="single" w:sz="8" w:space="0" w:color="000000"/>
              <w:right w:val="single" w:sz="8" w:space="0" w:color="000000"/>
            </w:tcBorders>
            <w:tcMar>
              <w:top w:w="0" w:type="dxa"/>
              <w:left w:w="0" w:type="dxa"/>
            </w:tcMar>
          </w:tcPr>
          <w:p>
            <w:pPr>
              <w:pStyle w:val="Lentelsturinysuser"/>
              <w:spacing w:before="0" w:after="0"/>
              <w:ind w:hanging="0" w:left="0" w:right="0"/>
              <w:rPr>
                <w:rFonts w:ascii="Arial" w:hAnsi="Arial"/>
                <w:sz w:val="16"/>
                <w:szCs w:val="16"/>
              </w:rPr>
            </w:pPr>
            <w:r>
              <w:rPr>
                <w:rFonts w:ascii="Arial" w:hAnsi="Arial"/>
                <w:sz w:val="16"/>
                <w:szCs w:val="16"/>
              </w:rPr>
              <w:t>Pailgėjimas esant didžiausiai apkrovai abiem kryptimis</w:t>
            </w:r>
          </w:p>
        </w:tc>
        <w:tc>
          <w:tcPr>
            <w:tcW w:w="4276" w:type="dxa"/>
            <w:tcBorders>
              <w:bottom w:val="single" w:sz="8" w:space="0" w:color="000000"/>
              <w:right w:val="single" w:sz="8" w:space="0" w:color="000000"/>
            </w:tcBorders>
            <w:tcMar>
              <w:top w:w="0" w:type="dxa"/>
              <w:left w:w="0" w:type="dxa"/>
            </w:tcMar>
          </w:tcPr>
          <w:p>
            <w:pPr>
              <w:pStyle w:val="Lentelsturinysuser"/>
              <w:spacing w:before="0" w:after="0"/>
              <w:ind w:hanging="0" w:left="0" w:right="0"/>
              <w:rPr>
                <w:rFonts w:ascii="Arial" w:hAnsi="Arial"/>
                <w:sz w:val="16"/>
                <w:szCs w:val="16"/>
              </w:rPr>
            </w:pPr>
            <w:r>
              <w:rPr>
                <w:rFonts w:ascii="Arial" w:hAnsi="Arial"/>
                <w:sz w:val="16"/>
                <w:szCs w:val="16"/>
              </w:rPr>
              <w:t xml:space="preserve">≥ </w:t>
            </w:r>
            <w:r>
              <w:rPr>
                <w:rFonts w:ascii="Arial" w:hAnsi="Arial"/>
                <w:sz w:val="16"/>
                <w:szCs w:val="16"/>
              </w:rPr>
              <w:t>45 %</w:t>
            </w:r>
          </w:p>
        </w:tc>
      </w:tr>
      <w:tr>
        <w:trPr/>
        <w:tc>
          <w:tcPr>
            <w:tcW w:w="4814" w:type="dxa"/>
            <w:tcBorders>
              <w:bottom w:val="single" w:sz="8" w:space="0" w:color="000000"/>
              <w:right w:val="single" w:sz="8" w:space="0" w:color="000000"/>
            </w:tcBorders>
            <w:tcMar>
              <w:top w:w="0" w:type="dxa"/>
              <w:left w:w="0" w:type="dxa"/>
            </w:tcMar>
          </w:tcPr>
          <w:p>
            <w:pPr>
              <w:pStyle w:val="Lentelsturinysuser"/>
              <w:spacing w:before="0" w:after="0"/>
              <w:ind w:hanging="0" w:left="0" w:right="0"/>
              <w:rPr>
                <w:rFonts w:ascii="Arial" w:hAnsi="Arial"/>
                <w:sz w:val="16"/>
                <w:szCs w:val="16"/>
              </w:rPr>
            </w:pPr>
            <w:r>
              <w:rPr>
                <w:rFonts w:ascii="Arial" w:hAnsi="Arial"/>
                <w:sz w:val="16"/>
                <w:szCs w:val="16"/>
              </w:rPr>
              <w:t>Atsparumas dinaminiam prakirtimui</w:t>
            </w:r>
          </w:p>
        </w:tc>
        <w:tc>
          <w:tcPr>
            <w:tcW w:w="4276" w:type="dxa"/>
            <w:tcBorders>
              <w:bottom w:val="single" w:sz="8" w:space="0" w:color="000000"/>
              <w:right w:val="single" w:sz="8" w:space="0" w:color="000000"/>
            </w:tcBorders>
            <w:tcMar>
              <w:top w:w="0" w:type="dxa"/>
              <w:left w:w="0" w:type="dxa"/>
            </w:tcMar>
          </w:tcPr>
          <w:p>
            <w:pPr>
              <w:pStyle w:val="Lentelsturinysuser"/>
              <w:spacing w:before="0" w:after="0"/>
              <w:ind w:hanging="0" w:left="0" w:right="0"/>
              <w:rPr>
                <w:rFonts w:ascii="Arial" w:hAnsi="Arial"/>
                <w:sz w:val="16"/>
                <w:szCs w:val="16"/>
              </w:rPr>
            </w:pPr>
            <w:r>
              <w:rPr>
                <w:rFonts w:ascii="Arial" w:hAnsi="Arial"/>
                <w:sz w:val="16"/>
                <w:szCs w:val="16"/>
              </w:rPr>
              <w:t xml:space="preserve">≤ </w:t>
            </w:r>
            <w:r>
              <w:rPr>
                <w:rFonts w:ascii="Arial" w:hAnsi="Arial"/>
                <w:sz w:val="16"/>
                <w:szCs w:val="16"/>
              </w:rPr>
              <w:t>20 mm</w:t>
            </w:r>
          </w:p>
        </w:tc>
      </w:tr>
      <w:tr>
        <w:trPr/>
        <w:tc>
          <w:tcPr>
            <w:tcW w:w="4814" w:type="dxa"/>
            <w:tcBorders>
              <w:bottom w:val="single" w:sz="8" w:space="0" w:color="000000"/>
              <w:right w:val="single" w:sz="8" w:space="0" w:color="000000"/>
            </w:tcBorders>
            <w:tcMar>
              <w:top w:w="0" w:type="dxa"/>
              <w:left w:w="0" w:type="dxa"/>
            </w:tcMar>
          </w:tcPr>
          <w:p>
            <w:pPr>
              <w:pStyle w:val="Lentelsturinysuser"/>
              <w:spacing w:before="0" w:after="0"/>
              <w:ind w:hanging="0" w:left="0" w:right="0"/>
              <w:rPr>
                <w:rFonts w:ascii="Arial" w:hAnsi="Arial"/>
                <w:sz w:val="16"/>
                <w:szCs w:val="16"/>
              </w:rPr>
            </w:pPr>
            <w:r>
              <w:rPr>
                <w:rFonts w:ascii="Arial" w:hAnsi="Arial"/>
                <w:sz w:val="16"/>
                <w:szCs w:val="16"/>
              </w:rPr>
              <w:t>Charakteringasis kiaurymės matmuo O</w:t>
            </w:r>
            <w:r>
              <w:rPr>
                <w:rFonts w:ascii="Arial" w:hAnsi="Arial"/>
                <w:position w:val="-1"/>
                <w:sz w:val="16"/>
                <w:szCs w:val="16"/>
              </w:rPr>
              <w:t>90</w:t>
            </w:r>
          </w:p>
        </w:tc>
        <w:tc>
          <w:tcPr>
            <w:tcW w:w="4276" w:type="dxa"/>
            <w:tcBorders>
              <w:bottom w:val="single" w:sz="8" w:space="0" w:color="000000"/>
              <w:right w:val="single" w:sz="8" w:space="0" w:color="000000"/>
            </w:tcBorders>
            <w:tcMar>
              <w:top w:w="0" w:type="dxa"/>
              <w:left w:w="0" w:type="dxa"/>
            </w:tcMar>
          </w:tcPr>
          <w:p>
            <w:pPr>
              <w:pStyle w:val="Lentelsturinysuser"/>
              <w:spacing w:before="0" w:after="0"/>
              <w:ind w:hanging="0" w:left="0" w:right="0"/>
              <w:rPr>
                <w:rFonts w:ascii="Arial" w:hAnsi="Arial"/>
                <w:sz w:val="16"/>
                <w:szCs w:val="16"/>
              </w:rPr>
            </w:pPr>
            <w:r>
              <w:rPr>
                <w:rFonts w:ascii="Arial" w:hAnsi="Arial"/>
                <w:sz w:val="16"/>
                <w:szCs w:val="16"/>
              </w:rPr>
              <w:t>0,06 mm ≤ pasirinktas O</w:t>
            </w:r>
            <w:r>
              <w:rPr>
                <w:rFonts w:ascii="Arial" w:hAnsi="Arial"/>
                <w:position w:val="-1"/>
                <w:sz w:val="16"/>
                <w:szCs w:val="16"/>
              </w:rPr>
              <w:t>90</w:t>
            </w:r>
            <w:r>
              <w:rPr>
                <w:rFonts w:ascii="Arial" w:hAnsi="Arial"/>
                <w:sz w:val="16"/>
                <w:szCs w:val="16"/>
              </w:rPr>
              <w:t> ≤ 0,13 mm</w:t>
            </w:r>
          </w:p>
        </w:tc>
      </w:tr>
      <w:tr>
        <w:trPr/>
        <w:tc>
          <w:tcPr>
            <w:tcW w:w="4814" w:type="dxa"/>
            <w:tcBorders>
              <w:bottom w:val="single" w:sz="8" w:space="0" w:color="000000"/>
              <w:right w:val="single" w:sz="8" w:space="0" w:color="000000"/>
            </w:tcBorders>
            <w:tcMar>
              <w:top w:w="0" w:type="dxa"/>
              <w:left w:w="0" w:type="dxa"/>
            </w:tcMar>
          </w:tcPr>
          <w:p>
            <w:pPr>
              <w:pStyle w:val="Lentelsturinysuser"/>
              <w:spacing w:before="0" w:after="0"/>
              <w:ind w:hanging="0" w:left="0" w:right="0"/>
              <w:rPr>
                <w:rFonts w:ascii="Arial" w:hAnsi="Arial"/>
                <w:sz w:val="16"/>
                <w:szCs w:val="16"/>
              </w:rPr>
            </w:pPr>
            <w:r>
              <w:rPr>
                <w:rFonts w:ascii="Arial" w:hAnsi="Arial"/>
                <w:sz w:val="16"/>
                <w:szCs w:val="16"/>
              </w:rPr>
              <w:t>Pralaidumas vandeniui statmena plokštumai kryptimi</w:t>
            </w:r>
          </w:p>
        </w:tc>
        <w:tc>
          <w:tcPr>
            <w:tcW w:w="4276" w:type="dxa"/>
            <w:tcBorders>
              <w:bottom w:val="single" w:sz="8" w:space="0" w:color="000000"/>
              <w:right w:val="single" w:sz="8" w:space="0" w:color="000000"/>
            </w:tcBorders>
            <w:tcMar>
              <w:top w:w="0" w:type="dxa"/>
              <w:left w:w="0" w:type="dxa"/>
            </w:tcMar>
          </w:tcPr>
          <w:p>
            <w:pPr>
              <w:pStyle w:val="Lentelsturinysuser"/>
              <w:spacing w:before="0" w:after="0"/>
              <w:ind w:hanging="0" w:left="0" w:right="0"/>
              <w:rPr>
                <w:rFonts w:ascii="Arial" w:hAnsi="Arial"/>
                <w:sz w:val="16"/>
                <w:szCs w:val="16"/>
              </w:rPr>
            </w:pPr>
            <w:r>
              <w:rPr>
                <w:rFonts w:ascii="Arial" w:hAnsi="Arial"/>
                <w:sz w:val="16"/>
                <w:szCs w:val="16"/>
              </w:rPr>
              <w:t xml:space="preserve">≥ </w:t>
            </w:r>
            <w:r>
              <w:rPr>
                <w:rFonts w:ascii="Arial" w:hAnsi="Arial"/>
                <w:sz w:val="16"/>
                <w:szCs w:val="16"/>
              </w:rPr>
              <w:t>60 l/m</w:t>
            </w:r>
            <w:r>
              <w:rPr>
                <w:rFonts w:ascii="Arial" w:hAnsi="Arial"/>
                <w:position w:val="5"/>
                <w:sz w:val="16"/>
                <w:szCs w:val="16"/>
              </w:rPr>
              <w:t>2</w:t>
            </w:r>
            <w:r>
              <w:rPr>
                <w:rFonts w:ascii="Arial" w:hAnsi="Arial"/>
                <w:sz w:val="16"/>
                <w:szCs w:val="16"/>
              </w:rPr>
              <w:t>s</w:t>
            </w:r>
          </w:p>
        </w:tc>
      </w:tr>
      <w:tr>
        <w:trPr/>
        <w:tc>
          <w:tcPr>
            <w:tcW w:w="4814" w:type="dxa"/>
            <w:tcBorders>
              <w:bottom w:val="single" w:sz="8" w:space="0" w:color="000000"/>
              <w:right w:val="single" w:sz="8" w:space="0" w:color="000000"/>
            </w:tcBorders>
            <w:tcMar>
              <w:top w:w="0" w:type="dxa"/>
              <w:left w:w="0" w:type="dxa"/>
            </w:tcMar>
          </w:tcPr>
          <w:p>
            <w:pPr>
              <w:pStyle w:val="Lentelsturinysuser"/>
              <w:spacing w:before="0" w:after="0"/>
              <w:ind w:hanging="0" w:left="0" w:right="0"/>
              <w:rPr>
                <w:rFonts w:ascii="Arial" w:hAnsi="Arial"/>
                <w:sz w:val="16"/>
                <w:szCs w:val="16"/>
              </w:rPr>
            </w:pPr>
            <w:r>
              <w:rPr>
                <w:rFonts w:ascii="Arial" w:hAnsi="Arial"/>
                <w:sz w:val="16"/>
                <w:szCs w:val="16"/>
              </w:rPr>
              <w:t>Atmosferos poveikio atsparumas</w:t>
            </w:r>
          </w:p>
        </w:tc>
        <w:tc>
          <w:tcPr>
            <w:tcW w:w="4276" w:type="dxa"/>
            <w:tcBorders>
              <w:bottom w:val="single" w:sz="8" w:space="0" w:color="000000"/>
              <w:right w:val="single" w:sz="8" w:space="0" w:color="000000"/>
            </w:tcBorders>
            <w:tcMar>
              <w:top w:w="0" w:type="dxa"/>
              <w:left w:w="0" w:type="dxa"/>
            </w:tcMar>
          </w:tcPr>
          <w:p>
            <w:pPr>
              <w:pStyle w:val="Lentelsturinysuser"/>
              <w:spacing w:before="0" w:after="0"/>
              <w:ind w:hanging="0" w:left="0" w:right="0"/>
              <w:rPr>
                <w:rFonts w:ascii="Arial" w:hAnsi="Arial"/>
                <w:sz w:val="16"/>
                <w:szCs w:val="16"/>
              </w:rPr>
            </w:pPr>
            <w:r>
              <w:rPr>
                <w:rFonts w:ascii="Arial" w:hAnsi="Arial"/>
                <w:sz w:val="16"/>
                <w:szCs w:val="16"/>
              </w:rPr>
              <w:t>Užpilti gruntu per mėnesį nuo įrengimo</w:t>
            </w:r>
          </w:p>
        </w:tc>
      </w:tr>
      <w:tr>
        <w:trPr/>
        <w:tc>
          <w:tcPr>
            <w:tcW w:w="4814" w:type="dxa"/>
            <w:tcBorders>
              <w:bottom w:val="single" w:sz="8" w:space="0" w:color="000000"/>
              <w:right w:val="single" w:sz="8" w:space="0" w:color="000000"/>
            </w:tcBorders>
            <w:tcMar>
              <w:top w:w="0" w:type="dxa"/>
              <w:left w:w="0" w:type="dxa"/>
            </w:tcMar>
          </w:tcPr>
          <w:p>
            <w:pPr>
              <w:pStyle w:val="Lentelsturinysuser"/>
              <w:spacing w:before="0" w:after="0"/>
              <w:ind w:hanging="0" w:left="0" w:right="0"/>
              <w:rPr>
                <w:rFonts w:ascii="Arial" w:hAnsi="Arial"/>
                <w:sz w:val="16"/>
                <w:szCs w:val="16"/>
              </w:rPr>
            </w:pPr>
            <w:r>
              <w:rPr>
                <w:rFonts w:ascii="Arial" w:hAnsi="Arial"/>
                <w:sz w:val="16"/>
                <w:szCs w:val="16"/>
              </w:rPr>
              <w:t>Ilgaamžiškumas</w:t>
            </w:r>
          </w:p>
        </w:tc>
        <w:tc>
          <w:tcPr>
            <w:tcW w:w="4276" w:type="dxa"/>
            <w:tcBorders>
              <w:bottom w:val="single" w:sz="8" w:space="0" w:color="000000"/>
              <w:right w:val="single" w:sz="8" w:space="0" w:color="000000"/>
            </w:tcBorders>
            <w:tcMar>
              <w:top w:w="0" w:type="dxa"/>
              <w:left w:w="0" w:type="dxa"/>
            </w:tcMar>
          </w:tcPr>
          <w:p>
            <w:pPr>
              <w:pStyle w:val="Lentelsturinysuser"/>
              <w:spacing w:before="0" w:after="0"/>
              <w:ind w:hanging="0" w:left="0" w:right="0"/>
              <w:rPr>
                <w:rFonts w:ascii="Arial" w:hAnsi="Arial"/>
                <w:sz w:val="16"/>
                <w:szCs w:val="16"/>
              </w:rPr>
            </w:pPr>
            <w:r>
              <w:rPr>
                <w:rFonts w:ascii="Arial" w:hAnsi="Arial"/>
                <w:sz w:val="16"/>
                <w:szCs w:val="16"/>
              </w:rPr>
              <w:t>Ne trumpesnis nei 100 metų, natūraliuose gruntuose, kurių aplinkinė terpė 4 ≤ pH ≤ 9 bei grunto temperatūra &lt;25˚C.</w:t>
            </w:r>
          </w:p>
        </w:tc>
      </w:tr>
      <w:tr>
        <w:trPr>
          <w:trHeight w:val="207" w:hRule="atLeast"/>
        </w:trPr>
        <w:tc>
          <w:tcPr>
            <w:tcW w:w="4814" w:type="dxa"/>
            <w:tcBorders>
              <w:bottom w:val="single" w:sz="8" w:space="0" w:color="000000"/>
              <w:right w:val="single" w:sz="8" w:space="0" w:color="000000"/>
            </w:tcBorders>
            <w:tcMar>
              <w:top w:w="0" w:type="dxa"/>
              <w:left w:w="0" w:type="dxa"/>
            </w:tcMar>
          </w:tcPr>
          <w:p>
            <w:pPr>
              <w:pStyle w:val="Lentelsturinysuser"/>
              <w:spacing w:before="0" w:after="0"/>
              <w:ind w:hanging="0" w:left="0" w:right="0"/>
              <w:rPr>
                <w:rFonts w:ascii="Arial" w:hAnsi="Arial"/>
                <w:sz w:val="16"/>
                <w:szCs w:val="16"/>
              </w:rPr>
            </w:pPr>
            <w:r>
              <w:rPr>
                <w:rFonts w:ascii="Arial" w:hAnsi="Arial"/>
                <w:sz w:val="16"/>
                <w:szCs w:val="16"/>
              </w:rPr>
              <w:t>Produkto poveikio aplinkai deklaracija (EPD)</w:t>
            </w:r>
          </w:p>
        </w:tc>
        <w:tc>
          <w:tcPr>
            <w:tcW w:w="4276" w:type="dxa"/>
            <w:tcBorders>
              <w:bottom w:val="single" w:sz="8" w:space="0" w:color="000000"/>
              <w:right w:val="single" w:sz="8" w:space="0" w:color="000000"/>
            </w:tcBorders>
            <w:tcMar>
              <w:top w:w="0" w:type="dxa"/>
              <w:left w:w="0" w:type="dxa"/>
            </w:tcMar>
          </w:tcPr>
          <w:p>
            <w:pPr>
              <w:pStyle w:val="Lentelsturinysuser"/>
              <w:spacing w:before="0" w:after="0"/>
              <w:ind w:hanging="0" w:left="0" w:right="0"/>
              <w:rPr>
                <w:rFonts w:ascii="Arial" w:hAnsi="Arial"/>
                <w:sz w:val="16"/>
                <w:szCs w:val="16"/>
              </w:rPr>
            </w:pPr>
            <w:r>
              <w:rPr>
                <w:rFonts w:ascii="Arial" w:hAnsi="Arial"/>
                <w:sz w:val="16"/>
                <w:szCs w:val="16"/>
              </w:rPr>
              <w:t>Privalomas</w:t>
            </w:r>
          </w:p>
        </w:tc>
      </w:tr>
    </w:tbl>
    <w:p>
      <w:pPr>
        <w:pStyle w:val="2LVL"/>
        <w:numPr>
          <w:ilvl w:val="0"/>
          <w:numId w:val="0"/>
        </w:numPr>
        <w:ind w:hanging="0" w:left="0"/>
        <w:jc w:val="both"/>
        <w:rPr>
          <w:color w:val="auto"/>
        </w:rPr>
      </w:pPr>
      <w:r>
        <w:rPr>
          <w:b w:val="false"/>
          <w:bCs w:val="false"/>
          <w:i/>
          <w:iCs/>
          <w:color w:val="auto"/>
          <w:u w:val="single"/>
        </w:rPr>
        <w:t>Darbų atlikimas</w:t>
      </w:r>
    </w:p>
    <w:p>
      <w:pPr>
        <w:pStyle w:val="Normal"/>
        <w:ind w:firstLine="709"/>
        <w:jc w:val="both"/>
        <w:rPr>
          <w:color w:val="auto"/>
        </w:rPr>
      </w:pPr>
      <w:r>
        <w:rPr>
          <w:rFonts w:ascii="Arial" w:hAnsi="Arial"/>
          <w:color w:val="000000"/>
          <w:sz w:val="20"/>
          <w:shd w:fill="auto" w:val="clear"/>
        </w:rPr>
        <w:t>Nesurištųjų mineralinių medžiagų ir gruntų pagrindo sluoksniai turi būti rengiami laikantis ĮT SBR 19, ĮT ŽS 17 reikalavimų. Jei pagrindo sluoksniai klojami po žiemos ant žemės sankasos, kuri buvo neuždengta, tai ji turi būti vėl sutankinta ir pakartotinai paimami pavyzdžiai sutankinimo rodikliui nustatyti. Ant sušalusios sankasos neturi būti klojami jokie sluoksniai.</w:t>
      </w:r>
    </w:p>
    <w:p>
      <w:pPr>
        <w:pStyle w:val="Normal"/>
        <w:ind w:firstLine="709"/>
        <w:jc w:val="both"/>
        <w:rPr>
          <w:color w:val="auto"/>
        </w:rPr>
      </w:pPr>
      <w:r>
        <w:rPr>
          <w:rFonts w:ascii="Arial" w:hAnsi="Arial"/>
          <w:color w:val="000000"/>
          <w:sz w:val="20"/>
          <w:shd w:fill="auto" w:val="clear"/>
        </w:rPr>
        <w:t>Pagrindo sluoksnis klojamas tik ant nepažeisto, lygaus ir švaraus paviršiaus, pašalinant bet kokį purvą, molį, užšalusį gruntą ar kitus nereikalingus likučius nuo prieš tai vykusių statybos ar remonto darbų. Pažeisti ar nelygūs paviršiai turi būti remontuojami, sutankinant išlyginamąją sluoksnį iš tos pačios medžiagos.</w:t>
      </w:r>
    </w:p>
    <w:p>
      <w:pPr>
        <w:pStyle w:val="Normal"/>
        <w:ind w:firstLine="709"/>
        <w:jc w:val="both"/>
        <w:rPr>
          <w:color w:val="auto"/>
        </w:rPr>
      </w:pPr>
      <w:r>
        <w:rPr>
          <w:rFonts w:ascii="Arial" w:hAnsi="Arial"/>
          <w:color w:val="000000"/>
          <w:sz w:val="20"/>
          <w:shd w:fill="auto" w:val="clear"/>
        </w:rPr>
        <w:t>Atitinkamas standartas bei techninis dokumentas nurodo kiekvieno sluoksnio paviršiaus apdorojimo ir apsaugos metodus bei apimtis. Jei statybinio transporto eismas pagrindo sluoksniais per daug užsitęsia arba jei tokie sluoksniai žiemos periodo metu paliekami neuždengti, tai prieš darbų atnaujinimą sluoksnius būtina iš naujo patikrinti ir išbandyti. Bet kokius defektus ir nelygumus remontuoja RANGOVAS.</w:t>
      </w:r>
    </w:p>
    <w:p>
      <w:pPr>
        <w:pStyle w:val="2LVL"/>
        <w:widowControl/>
        <w:numPr>
          <w:ilvl w:val="0"/>
          <w:numId w:val="0"/>
        </w:numPr>
        <w:suppressAutoHyphens w:val="true"/>
        <w:bidi w:val="0"/>
        <w:spacing w:lineRule="auto" w:line="276"/>
        <w:ind w:hanging="0" w:left="0"/>
        <w:jc w:val="both"/>
        <w:rPr>
          <w:color w:val="auto"/>
        </w:rPr>
      </w:pPr>
      <w:bookmarkStart w:id="98" w:name="_Toc152921790"/>
      <w:r>
        <w:rPr>
          <w:rFonts w:eastAsia="Times New Roman" w:cs="Times New Roman"/>
          <w:b w:val="false"/>
          <w:bCs w:val="false"/>
          <w:i/>
          <w:iCs/>
          <w:color w:val="auto"/>
          <w:kern w:val="0"/>
          <w:szCs w:val="24"/>
          <w:u w:val="single"/>
          <w:lang w:val="lt-LT" w:eastAsia="en-US" w:bidi="ar-SA"/>
        </w:rPr>
        <w:t>Atskirų sluoksnių klojimo sąlygos</w:t>
      </w:r>
      <w:bookmarkEnd w:id="98"/>
    </w:p>
    <w:p>
      <w:pPr>
        <w:pStyle w:val="Normal"/>
        <w:ind w:firstLine="709"/>
        <w:jc w:val="both"/>
        <w:rPr>
          <w:color w:val="auto"/>
        </w:rPr>
      </w:pPr>
      <w:r>
        <w:rPr>
          <w:rFonts w:ascii="Arial" w:hAnsi="Arial"/>
          <w:color w:val="000000"/>
          <w:sz w:val="20"/>
          <w:shd w:fill="auto" w:val="clear"/>
        </w:rPr>
        <w:t>Nesurištųjų mineralinių medžiagų ir gruntų pagrindo sluoksniai turi būti klojami laikantis ĮT SBR 19 reikalavimų.</w:t>
      </w:r>
    </w:p>
    <w:p>
      <w:pPr>
        <w:pStyle w:val="Normal"/>
        <w:ind w:firstLine="709"/>
        <w:jc w:val="both"/>
        <w:rPr>
          <w:color w:val="auto"/>
        </w:rPr>
      </w:pPr>
      <w:r>
        <w:rPr>
          <w:rFonts w:ascii="Arial" w:hAnsi="Arial"/>
          <w:color w:val="000000"/>
          <w:sz w:val="20"/>
          <w:shd w:fill="auto" w:val="clear"/>
        </w:rPr>
        <w:t>Aukščiau esantis pagrindo sluoksnis klojamas tik pilnai įrengus žemiau esantį sluoksnį, kuris turi būti švarus, lygus ir nepažeistas. AŠAS/ŠNS galima rengti žiemą tik tada, kai taikomos specialios sluoksnio įrengimo ir apsaugos priemonės. Sluoksnius be rišiklių draudžiama rengti ant sušalusio esamo posluoksnio. Pagrindo sluoksnių klojimas yra draudžiamas stipraus ir ilgo lietaus metu.</w:t>
      </w:r>
    </w:p>
    <w:p>
      <w:pPr>
        <w:pStyle w:val="2LVL"/>
        <w:widowControl/>
        <w:numPr>
          <w:ilvl w:val="0"/>
          <w:numId w:val="0"/>
        </w:numPr>
        <w:suppressAutoHyphens w:val="true"/>
        <w:bidi w:val="0"/>
        <w:spacing w:lineRule="auto" w:line="276"/>
        <w:ind w:hanging="0" w:left="0"/>
        <w:jc w:val="both"/>
        <w:rPr>
          <w:color w:val="auto"/>
        </w:rPr>
      </w:pPr>
      <w:r>
        <w:rPr>
          <w:rFonts w:eastAsia="Times New Roman" w:cs="Times New Roman"/>
          <w:b w:val="false"/>
          <w:bCs w:val="false"/>
          <w:i/>
          <w:iCs/>
          <w:color w:val="auto"/>
          <w:kern w:val="0"/>
          <w:szCs w:val="24"/>
          <w:u w:val="single"/>
          <w:lang w:val="lt-LT" w:eastAsia="en-US" w:bidi="ar-SA"/>
        </w:rPr>
        <w:t>Paskleidimas ir tankinimas</w:t>
      </w:r>
    </w:p>
    <w:p>
      <w:pPr>
        <w:pStyle w:val="Normal"/>
        <w:ind w:firstLine="709"/>
        <w:jc w:val="both"/>
        <w:rPr>
          <w:color w:val="auto"/>
        </w:rPr>
      </w:pPr>
      <w:r>
        <w:rPr>
          <w:rFonts w:ascii="Arial" w:hAnsi="Arial"/>
          <w:color w:val="000000"/>
          <w:sz w:val="20"/>
          <w:shd w:fill="auto" w:val="clear"/>
        </w:rPr>
        <w:t>Nesurištųjų mineralinių medžiagų ir gruntų pagrindo sluoksniai turi būti paskleidžiami ir tankinami laikantis ĮT SBR 19 reikalavimų.</w:t>
      </w:r>
    </w:p>
    <w:p>
      <w:pPr>
        <w:pStyle w:val="Normal"/>
        <w:ind w:firstLine="709"/>
        <w:jc w:val="both"/>
        <w:rPr>
          <w:color w:val="auto"/>
        </w:rPr>
      </w:pPr>
      <w:r>
        <w:rPr>
          <w:rFonts w:ascii="Arial" w:hAnsi="Arial"/>
          <w:color w:val="000000"/>
          <w:sz w:val="20"/>
          <w:shd w:fill="auto" w:val="clear"/>
        </w:rPr>
        <w:t>Nesurištieji mineralinių medžiagų mišiniai turi būti taip tolygiai paskleidžiami, kad jie neišsiskirstytų atskiromis frakcijomis. Kiekvienam sluoksniui naudojamas nesurištasis mineralinių medžiagų mišinys turi būti tinkamo drėgnio, visame plote tolygiai paskleidžiamas ir vienodai sutankinamas.</w:t>
      </w:r>
    </w:p>
    <w:p>
      <w:pPr>
        <w:pStyle w:val="Normal"/>
        <w:ind w:firstLine="709"/>
        <w:jc w:val="both"/>
        <w:rPr>
          <w:color w:val="auto"/>
        </w:rPr>
      </w:pPr>
      <w:r>
        <w:rPr>
          <w:rFonts w:ascii="Arial" w:hAnsi="Arial"/>
          <w:color w:val="000000"/>
          <w:sz w:val="20"/>
          <w:shd w:fill="auto" w:val="clear"/>
        </w:rPr>
        <w:t>Klojamų sluoksnių storis turi būti toks, kad po sutankinimo atitiktų projektinį storį.</w:t>
      </w:r>
    </w:p>
    <w:p>
      <w:pPr>
        <w:pStyle w:val="Normal"/>
        <w:ind w:firstLine="709"/>
        <w:jc w:val="both"/>
        <w:rPr>
          <w:color w:val="auto"/>
        </w:rPr>
      </w:pPr>
      <w:r>
        <w:rPr>
          <w:rFonts w:ascii="Arial" w:hAnsi="Arial"/>
          <w:color w:val="000000"/>
          <w:sz w:val="20"/>
          <w:shd w:fill="auto" w:val="clear"/>
        </w:rPr>
        <w:t>Tankinimas vykdomas naudojant bet kokio tipo volus ar tankinimo įrenginius, atitinkančius projektinius reikalavimus nesurištiems sluoksniams tankinti.</w:t>
      </w:r>
    </w:p>
    <w:p>
      <w:pPr>
        <w:pStyle w:val="Normal"/>
        <w:ind w:firstLine="709"/>
        <w:jc w:val="both"/>
        <w:rPr>
          <w:color w:val="auto"/>
        </w:rPr>
      </w:pPr>
      <w:r>
        <w:rPr>
          <w:rFonts w:ascii="Arial" w:hAnsi="Arial"/>
          <w:color w:val="000000"/>
          <w:sz w:val="20"/>
          <w:shd w:fill="auto" w:val="clear"/>
        </w:rPr>
        <w:t>Jei paviršius išgaubtas, sluoksnis tankinamas nuo kelio kraštų link centro, kitais atvejais nuo žemesnės vietos link aukštesnio sutankinto krašto. Tankinimas kartojamas tol, kol pasiekiamas reikalaujamas sutankinimo rodiklis.</w:t>
      </w:r>
    </w:p>
    <w:p>
      <w:pPr>
        <w:pStyle w:val="Normal"/>
        <w:ind w:firstLine="709"/>
        <w:jc w:val="both"/>
        <w:rPr>
          <w:color w:val="auto"/>
        </w:rPr>
      </w:pPr>
      <w:r>
        <w:rPr>
          <w:rFonts w:ascii="Arial" w:hAnsi="Arial"/>
          <w:i/>
          <w:iCs/>
          <w:color w:val="000000"/>
          <w:sz w:val="20"/>
          <w:u w:val="single"/>
          <w:shd w:fill="auto" w:val="clear"/>
        </w:rPr>
        <w:t>Atliktų darbų kontrolė ir priėmimas</w:t>
      </w:r>
    </w:p>
    <w:p>
      <w:pPr>
        <w:pStyle w:val="Normal"/>
        <w:ind w:firstLine="709"/>
        <w:jc w:val="both"/>
        <w:rPr>
          <w:color w:val="auto"/>
        </w:rPr>
      </w:pPr>
      <w:r>
        <w:rPr>
          <w:rFonts w:ascii="Arial" w:hAnsi="Arial"/>
          <w:color w:val="000000"/>
          <w:sz w:val="20"/>
          <w:shd w:fill="auto" w:val="clear"/>
        </w:rPr>
        <w:t>Kontroliniai bandymai yra užsakovo bandymai, kuriais nustatoma, ar užpildų, nesurištųjų mišinių ir gruntų savybės ir užbaigti darbai atitinka projekto (sutarties) reikalavimus. Šių bandymų rezultatai yra darbų priėmimo pagrindas.</w:t>
      </w:r>
    </w:p>
    <w:p>
      <w:pPr>
        <w:pStyle w:val="Normal"/>
        <w:ind w:firstLine="709"/>
        <w:jc w:val="both"/>
        <w:rPr>
          <w:color w:val="auto"/>
        </w:rPr>
      </w:pPr>
      <w:r>
        <w:rPr>
          <w:rFonts w:ascii="Arial" w:hAnsi="Arial"/>
          <w:color w:val="000000"/>
          <w:sz w:val="20"/>
          <w:shd w:fill="auto" w:val="clear"/>
        </w:rPr>
        <w:t>Ėminių ėmimą ir bandymus, kuriuos galima atlikti sluoksnio įrengimo ruože, atlieka užsakovas, techninis prižiūrėtojas arba užsakovo paskirta nepriklausoma akredituota bandymų laboratorija. Rangovas privalo sudaryti sąlygas ėminių paėmimui ir bandymų atlikimui.</w:t>
      </w:r>
    </w:p>
    <w:p>
      <w:pPr>
        <w:pStyle w:val="Paprtekstas"/>
        <w:ind w:firstLine="709"/>
        <w:jc w:val="both"/>
        <w:rPr>
          <w:color w:val="auto"/>
        </w:rPr>
      </w:pPr>
      <w:r>
        <w:rPr>
          <w:color w:val="000000"/>
          <w:sz w:val="20"/>
          <w:shd w:fill="auto" w:val="clear"/>
        </w:rPr>
        <w:t>Lentelėje pateikiamos kontrolinių bandymų rūšys.</w:t>
      </w:r>
    </w:p>
    <w:tbl>
      <w:tblPr>
        <w:tblW w:w="9913" w:type="dxa"/>
        <w:jc w:val="left"/>
        <w:tblInd w:w="20" w:type="dxa"/>
        <w:tblLayout w:type="fixed"/>
        <w:tblCellMar>
          <w:top w:w="0" w:type="dxa"/>
          <w:left w:w="10" w:type="dxa"/>
          <w:bottom w:w="0" w:type="dxa"/>
          <w:right w:w="10" w:type="dxa"/>
        </w:tblCellMar>
        <w:tblLook w:firstRow="1" w:noVBand="1" w:lastRow="0" w:firstColumn="1" w:lastColumn="0" w:noHBand="0" w:val="04a0"/>
      </w:tblPr>
      <w:tblGrid>
        <w:gridCol w:w="2538"/>
        <w:gridCol w:w="1336"/>
        <w:gridCol w:w="705"/>
        <w:gridCol w:w="656"/>
        <w:gridCol w:w="705"/>
        <w:gridCol w:w="709"/>
        <w:gridCol w:w="870"/>
        <w:gridCol w:w="1256"/>
        <w:gridCol w:w="1138"/>
      </w:tblGrid>
      <w:tr>
        <w:trPr>
          <w:tblHeader w:val="true"/>
          <w:trHeight w:val="189" w:hRule="atLeast"/>
        </w:trPr>
        <w:tc>
          <w:tcPr>
            <w:tcW w:w="2538" w:type="dxa"/>
            <w:tcBorders>
              <w:top w:val="single" w:sz="8" w:space="0" w:color="000000"/>
              <w:left w:val="single" w:sz="8" w:space="0" w:color="000000"/>
              <w:bottom w:val="single" w:sz="8" w:space="0" w:color="000000"/>
              <w:right w:val="single" w:sz="8" w:space="0" w:color="000000"/>
            </w:tcBorders>
            <w:vAlign w:val="center"/>
          </w:tcPr>
          <w:p>
            <w:pPr>
              <w:pStyle w:val="Normal"/>
              <w:jc w:val="center"/>
              <w:rPr>
                <w:color w:val="auto"/>
              </w:rPr>
            </w:pPr>
            <w:r>
              <w:rPr>
                <w:rFonts w:cs="Arial" w:ascii="Arial" w:hAnsi="Arial"/>
                <w:b/>
                <w:bCs/>
                <w:color w:val="auto"/>
                <w:sz w:val="16"/>
                <w:szCs w:val="16"/>
              </w:rPr>
              <w:t>Pagrindo sluoksnis be rišiklių</w:t>
            </w:r>
          </w:p>
          <w:p>
            <w:pPr>
              <w:pStyle w:val="Normal"/>
              <w:jc w:val="center"/>
              <w:rPr>
                <w:rFonts w:ascii="Arial" w:hAnsi="Arial" w:cs="Arial"/>
                <w:color w:val="auto"/>
                <w:sz w:val="16"/>
                <w:szCs w:val="16"/>
              </w:rPr>
            </w:pPr>
            <w:r>
              <w:rPr>
                <w:rFonts w:cs="Arial" w:ascii="Arial" w:hAnsi="Arial"/>
                <w:color w:val="auto"/>
                <w:sz w:val="16"/>
                <w:szCs w:val="16"/>
              </w:rPr>
            </w:r>
          </w:p>
          <w:p>
            <w:pPr>
              <w:pStyle w:val="Normal"/>
              <w:spacing w:before="0" w:after="200"/>
              <w:jc w:val="center"/>
              <w:rPr>
                <w:color w:val="auto"/>
              </w:rPr>
            </w:pPr>
            <w:r>
              <w:rPr>
                <w:rFonts w:cs="Arial" w:ascii="Arial" w:hAnsi="Arial"/>
                <w:b/>
                <w:bCs/>
                <w:color w:val="auto"/>
                <w:sz w:val="16"/>
                <w:szCs w:val="16"/>
              </w:rPr>
              <w:t>Bandymų rūšys</w:t>
            </w:r>
          </w:p>
        </w:tc>
        <w:tc>
          <w:tcPr>
            <w:tcW w:w="1336" w:type="dxa"/>
            <w:tcBorders>
              <w:top w:val="single" w:sz="8" w:space="0" w:color="000000"/>
              <w:bottom w:val="single" w:sz="8" w:space="0" w:color="000000"/>
              <w:right w:val="single" w:sz="8" w:space="0" w:color="000000"/>
            </w:tcBorders>
            <w:vAlign w:val="center"/>
          </w:tcPr>
          <w:p>
            <w:pPr>
              <w:pStyle w:val="Normal"/>
              <w:spacing w:before="0" w:after="200"/>
              <w:jc w:val="center"/>
              <w:rPr>
                <w:color w:val="auto"/>
              </w:rPr>
            </w:pPr>
            <w:r>
              <w:rPr>
                <w:rFonts w:cs="Arial" w:ascii="Arial" w:hAnsi="Arial"/>
                <w:b/>
                <w:bCs/>
                <w:color w:val="auto"/>
                <w:sz w:val="16"/>
                <w:szCs w:val="16"/>
              </w:rPr>
              <w:t>Bandymų ir matavimų kiekis </w:t>
            </w:r>
            <w:r>
              <w:rPr>
                <w:rFonts w:cs="Arial" w:ascii="Arial" w:hAnsi="Arial"/>
                <w:color w:val="auto"/>
                <w:sz w:val="16"/>
                <w:szCs w:val="16"/>
                <w:vertAlign w:val="superscript"/>
              </w:rPr>
              <w:t>1) 2)</w:t>
            </w:r>
          </w:p>
        </w:tc>
        <w:tc>
          <w:tcPr>
            <w:tcW w:w="705" w:type="dxa"/>
            <w:tcBorders>
              <w:top w:val="single" w:sz="8" w:space="0" w:color="000000"/>
              <w:bottom w:val="single" w:sz="8" w:space="0" w:color="000000"/>
              <w:right w:val="single" w:sz="8" w:space="0" w:color="000000"/>
            </w:tcBorders>
            <w:vAlign w:val="center"/>
          </w:tcPr>
          <w:p>
            <w:pPr>
              <w:pStyle w:val="Normal"/>
              <w:spacing w:before="0" w:after="200"/>
              <w:jc w:val="center"/>
              <w:rPr>
                <w:color w:val="auto"/>
              </w:rPr>
            </w:pPr>
            <w:r>
              <w:rPr>
                <w:rFonts w:cs="Arial" w:ascii="Arial" w:hAnsi="Arial"/>
                <w:b/>
                <w:bCs/>
                <w:color w:val="auto"/>
                <w:sz w:val="16"/>
                <w:szCs w:val="16"/>
              </w:rPr>
              <w:t>AŠAS</w:t>
            </w:r>
          </w:p>
        </w:tc>
        <w:tc>
          <w:tcPr>
            <w:tcW w:w="656" w:type="dxa"/>
            <w:tcBorders>
              <w:top w:val="single" w:sz="8" w:space="0" w:color="000000"/>
              <w:bottom w:val="single" w:sz="8" w:space="0" w:color="000000"/>
              <w:right w:val="single" w:sz="8" w:space="0" w:color="000000"/>
            </w:tcBorders>
            <w:vAlign w:val="center"/>
          </w:tcPr>
          <w:p>
            <w:pPr>
              <w:pStyle w:val="Normal"/>
              <w:spacing w:before="0" w:after="200"/>
              <w:jc w:val="center"/>
              <w:rPr>
                <w:color w:val="auto"/>
              </w:rPr>
            </w:pPr>
            <w:r>
              <w:rPr>
                <w:rFonts w:cs="Arial" w:ascii="Arial" w:hAnsi="Arial"/>
                <w:b/>
                <w:bCs/>
                <w:color w:val="auto"/>
                <w:sz w:val="16"/>
                <w:szCs w:val="16"/>
              </w:rPr>
              <w:t>ŠNS</w:t>
            </w:r>
          </w:p>
        </w:tc>
        <w:tc>
          <w:tcPr>
            <w:tcW w:w="705" w:type="dxa"/>
            <w:tcBorders>
              <w:top w:val="single" w:sz="8" w:space="0" w:color="000000"/>
              <w:bottom w:val="single" w:sz="8" w:space="0" w:color="000000"/>
              <w:right w:val="single" w:sz="8" w:space="0" w:color="000000"/>
            </w:tcBorders>
            <w:vAlign w:val="center"/>
          </w:tcPr>
          <w:p>
            <w:pPr>
              <w:pStyle w:val="Normal"/>
              <w:spacing w:before="0" w:after="200"/>
              <w:jc w:val="center"/>
              <w:rPr>
                <w:color w:val="auto"/>
              </w:rPr>
            </w:pPr>
            <w:r>
              <w:rPr>
                <w:rFonts w:cs="Arial" w:ascii="Arial" w:hAnsi="Arial"/>
                <w:b/>
                <w:bCs/>
                <w:color w:val="auto"/>
                <w:sz w:val="16"/>
                <w:szCs w:val="16"/>
              </w:rPr>
              <w:t>ŽPS</w:t>
            </w:r>
          </w:p>
        </w:tc>
        <w:tc>
          <w:tcPr>
            <w:tcW w:w="709" w:type="dxa"/>
            <w:tcBorders>
              <w:top w:val="single" w:sz="8" w:space="0" w:color="000000"/>
              <w:bottom w:val="single" w:sz="8" w:space="0" w:color="000000"/>
              <w:right w:val="single" w:sz="8" w:space="0" w:color="000000"/>
            </w:tcBorders>
            <w:tcMar>
              <w:left w:w="108" w:type="dxa"/>
              <w:right w:w="108" w:type="dxa"/>
            </w:tcMar>
            <w:vAlign w:val="center"/>
          </w:tcPr>
          <w:p>
            <w:pPr>
              <w:pStyle w:val="Normal"/>
              <w:spacing w:before="0" w:after="200"/>
              <w:jc w:val="center"/>
              <w:rPr>
                <w:color w:val="auto"/>
              </w:rPr>
            </w:pPr>
            <w:r>
              <w:rPr>
                <w:rFonts w:cs="Arial" w:ascii="Arial" w:hAnsi="Arial"/>
                <w:b/>
                <w:bCs/>
                <w:color w:val="auto"/>
                <w:sz w:val="16"/>
                <w:szCs w:val="16"/>
              </w:rPr>
              <w:t>SPS</w:t>
            </w:r>
          </w:p>
        </w:tc>
        <w:tc>
          <w:tcPr>
            <w:tcW w:w="870" w:type="dxa"/>
            <w:tcBorders>
              <w:top w:val="single" w:sz="8" w:space="0" w:color="000000"/>
              <w:bottom w:val="single" w:sz="8" w:space="0" w:color="000000"/>
              <w:right w:val="single" w:sz="8" w:space="0" w:color="000000"/>
            </w:tcBorders>
            <w:tcMar>
              <w:left w:w="108" w:type="dxa"/>
              <w:right w:w="108" w:type="dxa"/>
            </w:tcMar>
            <w:vAlign w:val="center"/>
          </w:tcPr>
          <w:p>
            <w:pPr>
              <w:pStyle w:val="Normal"/>
              <w:spacing w:before="0" w:after="200"/>
              <w:jc w:val="center"/>
              <w:rPr>
                <w:color w:val="auto"/>
              </w:rPr>
            </w:pPr>
            <w:r>
              <w:rPr>
                <w:rFonts w:cs="Arial" w:ascii="Arial" w:hAnsi="Arial"/>
                <w:b/>
                <w:bCs/>
                <w:color w:val="auto"/>
                <w:sz w:val="16"/>
                <w:szCs w:val="16"/>
              </w:rPr>
              <w:t>DSBR</w:t>
            </w:r>
          </w:p>
        </w:tc>
        <w:tc>
          <w:tcPr>
            <w:tcW w:w="1256" w:type="dxa"/>
            <w:tcBorders>
              <w:top w:val="single" w:sz="8" w:space="0" w:color="000000"/>
              <w:bottom w:val="single" w:sz="8" w:space="0" w:color="000000"/>
              <w:right w:val="single" w:sz="8" w:space="0" w:color="000000"/>
            </w:tcBorders>
            <w:tcMar>
              <w:left w:w="108" w:type="dxa"/>
              <w:right w:w="108" w:type="dxa"/>
            </w:tcMar>
            <w:vAlign w:val="center"/>
          </w:tcPr>
          <w:p>
            <w:pPr>
              <w:pStyle w:val="Normal"/>
              <w:spacing w:before="0" w:after="200"/>
              <w:jc w:val="center"/>
              <w:rPr>
                <w:color w:val="auto"/>
              </w:rPr>
            </w:pPr>
            <w:r>
              <w:rPr>
                <w:rFonts w:cs="Arial" w:ascii="Arial" w:hAnsi="Arial"/>
                <w:b/>
                <w:bCs/>
                <w:color w:val="auto"/>
                <w:sz w:val="16"/>
                <w:szCs w:val="16"/>
              </w:rPr>
              <w:t>Kelkraščio apatinis sluoksnis</w:t>
            </w:r>
          </w:p>
        </w:tc>
        <w:tc>
          <w:tcPr>
            <w:tcW w:w="1138" w:type="dxa"/>
            <w:tcBorders>
              <w:top w:val="single" w:sz="8" w:space="0" w:color="000000"/>
              <w:bottom w:val="single" w:sz="8" w:space="0" w:color="000000"/>
              <w:right w:val="single" w:sz="8" w:space="0" w:color="000000"/>
            </w:tcBorders>
            <w:vAlign w:val="center"/>
          </w:tcPr>
          <w:p>
            <w:pPr>
              <w:pStyle w:val="Normal"/>
              <w:spacing w:before="0" w:after="200"/>
              <w:jc w:val="center"/>
              <w:rPr>
                <w:color w:val="auto"/>
              </w:rPr>
            </w:pPr>
            <w:r>
              <w:rPr>
                <w:rFonts w:cs="Arial" w:ascii="Arial" w:hAnsi="Arial"/>
                <w:b/>
                <w:bCs/>
                <w:color w:val="auto"/>
                <w:sz w:val="16"/>
                <w:szCs w:val="16"/>
              </w:rPr>
              <w:t>Kelkraščio viršutinis sluoksnis</w:t>
            </w:r>
          </w:p>
        </w:tc>
      </w:tr>
      <w:tr>
        <w:trPr/>
        <w:tc>
          <w:tcPr>
            <w:tcW w:w="9913" w:type="dxa"/>
            <w:gridSpan w:val="9"/>
            <w:tcBorders>
              <w:left w:val="single" w:sz="8" w:space="0" w:color="000000"/>
              <w:bottom w:val="single" w:sz="8" w:space="0" w:color="000000"/>
              <w:right w:val="single" w:sz="8" w:space="0" w:color="000000"/>
            </w:tcBorders>
            <w:tcMar>
              <w:left w:w="108" w:type="dxa"/>
              <w:right w:w="108" w:type="dxa"/>
            </w:tcMar>
          </w:tcPr>
          <w:p>
            <w:pPr>
              <w:pStyle w:val="Normal"/>
              <w:spacing w:before="0" w:after="200"/>
              <w:rPr>
                <w:color w:val="auto"/>
              </w:rPr>
            </w:pPr>
            <w:r>
              <w:rPr>
                <w:rFonts w:cs="Arial" w:ascii="Arial" w:hAnsi="Arial"/>
                <w:b/>
                <w:bCs/>
                <w:color w:val="auto"/>
                <w:sz w:val="16"/>
                <w:szCs w:val="16"/>
              </w:rPr>
              <w:t>1. Įrengtas sluoksnis</w:t>
            </w:r>
          </w:p>
        </w:tc>
      </w:tr>
      <w:tr>
        <w:trPr/>
        <w:tc>
          <w:tcPr>
            <w:tcW w:w="2538" w:type="dxa"/>
            <w:tcBorders>
              <w:left w:val="single" w:sz="8" w:space="0" w:color="000000"/>
              <w:bottom w:val="single" w:sz="8" w:space="0" w:color="000000"/>
              <w:right w:val="single" w:sz="8" w:space="0" w:color="000000"/>
            </w:tcBorders>
            <w:vAlign w:val="center"/>
          </w:tcPr>
          <w:p>
            <w:pPr>
              <w:pStyle w:val="Normal"/>
              <w:spacing w:before="0" w:after="200"/>
              <w:ind w:left="170"/>
              <w:rPr>
                <w:color w:val="auto"/>
              </w:rPr>
            </w:pPr>
            <w:r>
              <w:rPr>
                <w:rFonts w:cs="Arial" w:ascii="Arial" w:hAnsi="Arial"/>
                <w:color w:val="auto"/>
                <w:sz w:val="16"/>
                <w:szCs w:val="16"/>
              </w:rPr>
              <w:t>1.1. Aukštis</w:t>
            </w:r>
          </w:p>
        </w:tc>
        <w:tc>
          <w:tcPr>
            <w:tcW w:w="1336"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ne rečiau kaip kas 100 m</w:t>
            </w:r>
          </w:p>
        </w:tc>
        <w:tc>
          <w:tcPr>
            <w:tcW w:w="705"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656"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705"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709"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870"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1256" w:type="dxa"/>
            <w:tcBorders>
              <w:bottom w:val="single" w:sz="8" w:space="0" w:color="000000"/>
              <w:right w:val="single" w:sz="8" w:space="0" w:color="000000"/>
            </w:tcBorders>
            <w:tcMar>
              <w:left w:w="108" w:type="dxa"/>
              <w:right w:w="108" w:type="dxa"/>
            </w:tcMar>
          </w:tcPr>
          <w:p>
            <w:pPr>
              <w:pStyle w:val="Normal"/>
              <w:spacing w:before="0" w:after="200"/>
              <w:jc w:val="center"/>
              <w:rPr>
                <w:color w:val="auto"/>
                <w:sz w:val="16"/>
                <w:szCs w:val="16"/>
              </w:rPr>
            </w:pPr>
            <w:r>
              <w:rPr>
                <w:color w:val="auto"/>
                <w:sz w:val="16"/>
                <w:szCs w:val="16"/>
              </w:rPr>
            </w:r>
          </w:p>
        </w:tc>
        <w:tc>
          <w:tcPr>
            <w:tcW w:w="1138"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r>
      <w:tr>
        <w:trPr/>
        <w:tc>
          <w:tcPr>
            <w:tcW w:w="2538" w:type="dxa"/>
            <w:tcBorders>
              <w:left w:val="single" w:sz="8" w:space="0" w:color="000000"/>
              <w:bottom w:val="single" w:sz="8" w:space="0" w:color="000000"/>
              <w:right w:val="single" w:sz="8" w:space="0" w:color="000000"/>
            </w:tcBorders>
            <w:vAlign w:val="center"/>
          </w:tcPr>
          <w:p>
            <w:pPr>
              <w:pStyle w:val="Normal"/>
              <w:spacing w:before="0" w:after="200"/>
              <w:ind w:left="170"/>
              <w:rPr>
                <w:color w:val="auto"/>
              </w:rPr>
            </w:pPr>
            <w:r>
              <w:rPr>
                <w:rFonts w:cs="Arial" w:ascii="Arial" w:hAnsi="Arial"/>
                <w:color w:val="auto"/>
                <w:sz w:val="16"/>
                <w:szCs w:val="16"/>
              </w:rPr>
              <w:t>1.2. Skersinis nuolydis</w:t>
            </w:r>
          </w:p>
        </w:tc>
        <w:tc>
          <w:tcPr>
            <w:tcW w:w="1336"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ne rečiau kaip kas 100 m</w:t>
            </w:r>
          </w:p>
        </w:tc>
        <w:tc>
          <w:tcPr>
            <w:tcW w:w="705"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656"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705"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709"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870"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1256" w:type="dxa"/>
            <w:tcBorders>
              <w:bottom w:val="single" w:sz="8" w:space="0" w:color="000000"/>
              <w:right w:val="single" w:sz="8" w:space="0" w:color="000000"/>
            </w:tcBorders>
            <w:tcMar>
              <w:left w:w="108" w:type="dxa"/>
              <w:right w:w="108" w:type="dxa"/>
            </w:tcMar>
          </w:tcPr>
          <w:p>
            <w:pPr>
              <w:pStyle w:val="Normal"/>
              <w:spacing w:before="0" w:after="200"/>
              <w:jc w:val="center"/>
              <w:rPr>
                <w:color w:val="auto"/>
                <w:sz w:val="16"/>
                <w:szCs w:val="16"/>
              </w:rPr>
            </w:pPr>
            <w:r>
              <w:rPr>
                <w:color w:val="auto"/>
                <w:sz w:val="16"/>
                <w:szCs w:val="16"/>
              </w:rPr>
            </w:r>
          </w:p>
        </w:tc>
        <w:tc>
          <w:tcPr>
            <w:tcW w:w="1138"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r>
      <w:tr>
        <w:trPr/>
        <w:tc>
          <w:tcPr>
            <w:tcW w:w="2538" w:type="dxa"/>
            <w:tcBorders>
              <w:left w:val="single" w:sz="8" w:space="0" w:color="000000"/>
              <w:bottom w:val="single" w:sz="8" w:space="0" w:color="000000"/>
              <w:right w:val="single" w:sz="8" w:space="0" w:color="000000"/>
            </w:tcBorders>
            <w:vAlign w:val="center"/>
          </w:tcPr>
          <w:p>
            <w:pPr>
              <w:pStyle w:val="Normal"/>
              <w:spacing w:before="0" w:after="200"/>
              <w:ind w:left="170"/>
              <w:rPr>
                <w:color w:val="auto"/>
              </w:rPr>
            </w:pPr>
            <w:r>
              <w:rPr>
                <w:rFonts w:cs="Arial" w:ascii="Arial" w:hAnsi="Arial"/>
                <w:color w:val="auto"/>
                <w:sz w:val="16"/>
                <w:szCs w:val="16"/>
              </w:rPr>
              <w:t>1.3. Plotis</w:t>
            </w:r>
          </w:p>
        </w:tc>
        <w:tc>
          <w:tcPr>
            <w:tcW w:w="1336"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ne rečiau kaip kas 100 m</w:t>
            </w:r>
          </w:p>
        </w:tc>
        <w:tc>
          <w:tcPr>
            <w:tcW w:w="705"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656"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705"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709"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870"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1256" w:type="dxa"/>
            <w:tcBorders>
              <w:bottom w:val="single" w:sz="8" w:space="0" w:color="000000"/>
              <w:right w:val="single" w:sz="8" w:space="0" w:color="000000"/>
            </w:tcBorders>
            <w:tcMar>
              <w:left w:w="108" w:type="dxa"/>
              <w:right w:w="108" w:type="dxa"/>
            </w:tcMar>
          </w:tcPr>
          <w:p>
            <w:pPr>
              <w:pStyle w:val="Normal"/>
              <w:spacing w:before="0" w:after="200"/>
              <w:jc w:val="center"/>
              <w:rPr>
                <w:color w:val="auto"/>
                <w:sz w:val="16"/>
                <w:szCs w:val="16"/>
              </w:rPr>
            </w:pPr>
            <w:r>
              <w:rPr>
                <w:color w:val="auto"/>
                <w:sz w:val="16"/>
                <w:szCs w:val="16"/>
              </w:rPr>
            </w:r>
          </w:p>
        </w:tc>
        <w:tc>
          <w:tcPr>
            <w:tcW w:w="1138"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r>
      <w:tr>
        <w:trPr/>
        <w:tc>
          <w:tcPr>
            <w:tcW w:w="2538" w:type="dxa"/>
            <w:tcBorders>
              <w:left w:val="single" w:sz="8" w:space="0" w:color="000000"/>
              <w:bottom w:val="single" w:sz="8" w:space="0" w:color="000000"/>
              <w:right w:val="single" w:sz="8" w:space="0" w:color="000000"/>
            </w:tcBorders>
            <w:vAlign w:val="center"/>
          </w:tcPr>
          <w:p>
            <w:pPr>
              <w:pStyle w:val="Normal"/>
              <w:spacing w:before="0" w:after="200"/>
              <w:ind w:left="170"/>
              <w:rPr>
                <w:color w:val="auto"/>
              </w:rPr>
            </w:pPr>
            <w:r>
              <w:rPr>
                <w:rFonts w:cs="Arial" w:ascii="Arial" w:hAnsi="Arial"/>
                <w:color w:val="auto"/>
                <w:sz w:val="16"/>
                <w:szCs w:val="16"/>
              </w:rPr>
              <w:t>1.4. Lygumas skersine ir išilgine kryptimis</w:t>
            </w:r>
          </w:p>
        </w:tc>
        <w:tc>
          <w:tcPr>
            <w:tcW w:w="1336"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ne rečiau kaip kas 100 m</w:t>
            </w:r>
          </w:p>
        </w:tc>
        <w:tc>
          <w:tcPr>
            <w:tcW w:w="705"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656"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705"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709"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870"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1256" w:type="dxa"/>
            <w:tcBorders>
              <w:bottom w:val="single" w:sz="8" w:space="0" w:color="000000"/>
              <w:right w:val="single" w:sz="8" w:space="0" w:color="000000"/>
            </w:tcBorders>
            <w:tcMar>
              <w:left w:w="108" w:type="dxa"/>
              <w:right w:w="108" w:type="dxa"/>
            </w:tcMar>
          </w:tcPr>
          <w:p>
            <w:pPr>
              <w:pStyle w:val="Normal"/>
              <w:spacing w:before="0" w:after="200"/>
              <w:jc w:val="center"/>
              <w:rPr>
                <w:color w:val="auto"/>
                <w:sz w:val="16"/>
                <w:szCs w:val="16"/>
              </w:rPr>
            </w:pPr>
            <w:r>
              <w:rPr>
                <w:color w:val="auto"/>
                <w:sz w:val="16"/>
                <w:szCs w:val="16"/>
              </w:rPr>
            </w:r>
          </w:p>
        </w:tc>
        <w:tc>
          <w:tcPr>
            <w:tcW w:w="1138" w:type="dxa"/>
            <w:tcBorders>
              <w:bottom w:val="single" w:sz="8" w:space="0" w:color="000000"/>
              <w:right w:val="single" w:sz="8" w:space="0" w:color="000000"/>
            </w:tcBorders>
            <w:vAlign w:val="center"/>
          </w:tcPr>
          <w:p>
            <w:pPr>
              <w:pStyle w:val="Normal"/>
              <w:spacing w:before="0" w:after="200"/>
              <w:jc w:val="center"/>
              <w:rPr>
                <w:color w:val="auto"/>
                <w:sz w:val="16"/>
                <w:szCs w:val="16"/>
              </w:rPr>
            </w:pPr>
            <w:r>
              <w:rPr>
                <w:color w:val="auto"/>
                <w:sz w:val="16"/>
                <w:szCs w:val="16"/>
              </w:rPr>
            </w:r>
          </w:p>
        </w:tc>
      </w:tr>
      <w:tr>
        <w:trPr/>
        <w:tc>
          <w:tcPr>
            <w:tcW w:w="2538" w:type="dxa"/>
            <w:tcBorders>
              <w:left w:val="single" w:sz="8" w:space="0" w:color="000000"/>
              <w:bottom w:val="single" w:sz="8" w:space="0" w:color="000000"/>
              <w:right w:val="single" w:sz="8" w:space="0" w:color="000000"/>
            </w:tcBorders>
            <w:vAlign w:val="center"/>
          </w:tcPr>
          <w:p>
            <w:pPr>
              <w:pStyle w:val="Normal"/>
              <w:spacing w:before="0" w:after="200"/>
              <w:ind w:left="170"/>
              <w:rPr>
                <w:color w:val="auto"/>
              </w:rPr>
            </w:pPr>
            <w:r>
              <w:rPr>
                <w:rFonts w:cs="Arial" w:ascii="Arial" w:hAnsi="Arial"/>
                <w:color w:val="auto"/>
                <w:sz w:val="16"/>
                <w:szCs w:val="16"/>
              </w:rPr>
              <w:t>1.5. Storis</w:t>
            </w:r>
          </w:p>
        </w:tc>
        <w:tc>
          <w:tcPr>
            <w:tcW w:w="1336"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ne rečiau kaip kas 100 m</w:t>
            </w:r>
          </w:p>
        </w:tc>
        <w:tc>
          <w:tcPr>
            <w:tcW w:w="705"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656"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705"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709"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870"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1256" w:type="dxa"/>
            <w:tcBorders>
              <w:bottom w:val="single" w:sz="8" w:space="0" w:color="000000"/>
              <w:right w:val="single" w:sz="8" w:space="0" w:color="000000"/>
            </w:tcBorders>
            <w:tcMar>
              <w:left w:w="108" w:type="dxa"/>
              <w:right w:w="108" w:type="dxa"/>
            </w:tcMar>
          </w:tcPr>
          <w:p>
            <w:pPr>
              <w:pStyle w:val="Normal"/>
              <w:spacing w:before="0" w:after="200"/>
              <w:jc w:val="center"/>
              <w:rPr>
                <w:color w:val="auto"/>
                <w:sz w:val="16"/>
                <w:szCs w:val="16"/>
              </w:rPr>
            </w:pPr>
            <w:r>
              <w:rPr>
                <w:color w:val="auto"/>
                <w:sz w:val="16"/>
                <w:szCs w:val="16"/>
              </w:rPr>
            </w:r>
          </w:p>
        </w:tc>
        <w:tc>
          <w:tcPr>
            <w:tcW w:w="1138"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r>
      <w:tr>
        <w:trPr/>
        <w:tc>
          <w:tcPr>
            <w:tcW w:w="2538" w:type="dxa"/>
            <w:vMerge w:val="restart"/>
            <w:tcBorders>
              <w:left w:val="single" w:sz="8" w:space="0" w:color="000000"/>
              <w:bottom w:val="single" w:sz="8" w:space="0" w:color="000000"/>
              <w:right w:val="single" w:sz="8" w:space="0" w:color="000000"/>
            </w:tcBorders>
            <w:vAlign w:val="center"/>
          </w:tcPr>
          <w:p>
            <w:pPr>
              <w:pStyle w:val="Normal"/>
              <w:spacing w:before="0" w:after="200"/>
              <w:ind w:left="170"/>
              <w:rPr>
                <w:color w:val="auto"/>
              </w:rPr>
            </w:pPr>
            <w:r>
              <w:rPr>
                <w:rFonts w:cs="Arial" w:ascii="Arial" w:hAnsi="Arial"/>
                <w:color w:val="auto"/>
                <w:sz w:val="16"/>
                <w:szCs w:val="16"/>
              </w:rPr>
              <w:t>1.6. Granuliometrinė sudėtis ir smulkiųjų dalelių kiekis</w:t>
            </w:r>
          </w:p>
        </w:tc>
        <w:tc>
          <w:tcPr>
            <w:tcW w:w="1336"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1 ėminys kiekvieniems 6000 m</w:t>
            </w:r>
            <w:r>
              <w:rPr>
                <w:rFonts w:cs="Arial" w:ascii="Arial" w:hAnsi="Arial"/>
                <w:color w:val="auto"/>
                <w:sz w:val="16"/>
                <w:szCs w:val="16"/>
                <w:vertAlign w:val="superscript"/>
              </w:rPr>
              <w:t>2</w:t>
            </w:r>
          </w:p>
        </w:tc>
        <w:tc>
          <w:tcPr>
            <w:tcW w:w="705"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656"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705"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709"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870"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1256" w:type="dxa"/>
            <w:tcBorders>
              <w:bottom w:val="single" w:sz="8" w:space="0" w:color="000000"/>
              <w:right w:val="single" w:sz="8" w:space="0" w:color="000000"/>
            </w:tcBorders>
            <w:tcMar>
              <w:left w:w="108" w:type="dxa"/>
              <w:right w:w="108" w:type="dxa"/>
            </w:tcMar>
          </w:tcPr>
          <w:p>
            <w:pPr>
              <w:pStyle w:val="Normal"/>
              <w:spacing w:before="0" w:after="200"/>
              <w:jc w:val="center"/>
              <w:rPr>
                <w:color w:val="auto"/>
                <w:sz w:val="16"/>
                <w:szCs w:val="16"/>
              </w:rPr>
            </w:pPr>
            <w:r>
              <w:rPr>
                <w:color w:val="auto"/>
                <w:sz w:val="16"/>
                <w:szCs w:val="16"/>
              </w:rPr>
            </w:r>
          </w:p>
        </w:tc>
        <w:tc>
          <w:tcPr>
            <w:tcW w:w="1138" w:type="dxa"/>
            <w:tcBorders>
              <w:bottom w:val="single" w:sz="8" w:space="0" w:color="000000"/>
              <w:right w:val="single" w:sz="8" w:space="0" w:color="000000"/>
            </w:tcBorders>
            <w:vAlign w:val="center"/>
          </w:tcPr>
          <w:p>
            <w:pPr>
              <w:pStyle w:val="Normal"/>
              <w:spacing w:before="0" w:after="200"/>
              <w:jc w:val="center"/>
              <w:rPr>
                <w:color w:val="auto"/>
                <w:sz w:val="16"/>
                <w:szCs w:val="16"/>
              </w:rPr>
            </w:pPr>
            <w:r>
              <w:rPr>
                <w:color w:val="auto"/>
                <w:sz w:val="16"/>
                <w:szCs w:val="16"/>
              </w:rPr>
            </w:r>
          </w:p>
        </w:tc>
      </w:tr>
      <w:tr>
        <w:trPr/>
        <w:tc>
          <w:tcPr>
            <w:tcW w:w="2538" w:type="dxa"/>
            <w:vMerge w:val="continue"/>
            <w:tcBorders>
              <w:left w:val="single" w:sz="8" w:space="0" w:color="000000"/>
              <w:bottom w:val="single" w:sz="8" w:space="0" w:color="000000"/>
              <w:right w:val="single" w:sz="8" w:space="0" w:color="000000"/>
            </w:tcBorders>
            <w:vAlign w:val="center"/>
          </w:tcPr>
          <w:p>
            <w:pPr>
              <w:pStyle w:val="Normal"/>
              <w:spacing w:before="0" w:after="200"/>
              <w:rPr>
                <w:rFonts w:ascii="Arial" w:hAnsi="Arial" w:cs="Arial"/>
                <w:color w:val="auto"/>
                <w:sz w:val="16"/>
                <w:szCs w:val="16"/>
              </w:rPr>
            </w:pPr>
            <w:r>
              <w:rPr>
                <w:rFonts w:cs="Arial" w:ascii="Arial" w:hAnsi="Arial"/>
                <w:color w:val="auto"/>
                <w:sz w:val="16"/>
                <w:szCs w:val="16"/>
              </w:rPr>
            </w:r>
          </w:p>
        </w:tc>
        <w:tc>
          <w:tcPr>
            <w:tcW w:w="1336"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1 ėminys kiekvieniems 3000 m</w:t>
            </w:r>
            <w:r>
              <w:rPr>
                <w:rFonts w:cs="Arial" w:ascii="Arial" w:hAnsi="Arial"/>
                <w:color w:val="auto"/>
                <w:sz w:val="16"/>
                <w:szCs w:val="16"/>
                <w:vertAlign w:val="superscript"/>
              </w:rPr>
              <w:t>2</w:t>
            </w:r>
          </w:p>
        </w:tc>
        <w:tc>
          <w:tcPr>
            <w:tcW w:w="705" w:type="dxa"/>
            <w:tcBorders>
              <w:bottom w:val="single" w:sz="8" w:space="0" w:color="000000"/>
              <w:right w:val="single" w:sz="8" w:space="0" w:color="000000"/>
            </w:tcBorders>
            <w:vAlign w:val="center"/>
          </w:tcPr>
          <w:p>
            <w:pPr>
              <w:pStyle w:val="Normal"/>
              <w:spacing w:before="0" w:after="200"/>
              <w:jc w:val="center"/>
              <w:rPr>
                <w:color w:val="auto"/>
                <w:sz w:val="16"/>
                <w:szCs w:val="16"/>
              </w:rPr>
            </w:pPr>
            <w:r>
              <w:rPr>
                <w:color w:val="auto"/>
                <w:sz w:val="16"/>
                <w:szCs w:val="16"/>
              </w:rPr>
            </w:r>
          </w:p>
        </w:tc>
        <w:tc>
          <w:tcPr>
            <w:tcW w:w="656" w:type="dxa"/>
            <w:tcBorders>
              <w:bottom w:val="single" w:sz="8" w:space="0" w:color="000000"/>
              <w:right w:val="single" w:sz="8" w:space="0" w:color="000000"/>
            </w:tcBorders>
            <w:vAlign w:val="center"/>
          </w:tcPr>
          <w:p>
            <w:pPr>
              <w:pStyle w:val="Normal"/>
              <w:spacing w:before="0" w:after="200"/>
              <w:jc w:val="center"/>
              <w:rPr>
                <w:color w:val="auto"/>
                <w:sz w:val="16"/>
                <w:szCs w:val="16"/>
              </w:rPr>
            </w:pPr>
            <w:r>
              <w:rPr>
                <w:color w:val="auto"/>
                <w:sz w:val="16"/>
                <w:szCs w:val="16"/>
              </w:rPr>
            </w:r>
          </w:p>
        </w:tc>
        <w:tc>
          <w:tcPr>
            <w:tcW w:w="705" w:type="dxa"/>
            <w:tcBorders>
              <w:bottom w:val="single" w:sz="8" w:space="0" w:color="000000"/>
              <w:right w:val="single" w:sz="8" w:space="0" w:color="000000"/>
            </w:tcBorders>
            <w:vAlign w:val="center"/>
          </w:tcPr>
          <w:p>
            <w:pPr>
              <w:pStyle w:val="Normal"/>
              <w:spacing w:before="0" w:after="200"/>
              <w:jc w:val="center"/>
              <w:rPr>
                <w:color w:val="auto"/>
                <w:sz w:val="16"/>
                <w:szCs w:val="16"/>
              </w:rPr>
            </w:pPr>
            <w:r>
              <w:rPr>
                <w:color w:val="auto"/>
                <w:sz w:val="16"/>
                <w:szCs w:val="16"/>
              </w:rPr>
            </w:r>
          </w:p>
        </w:tc>
        <w:tc>
          <w:tcPr>
            <w:tcW w:w="709" w:type="dxa"/>
            <w:tcBorders>
              <w:bottom w:val="single" w:sz="8" w:space="0" w:color="000000"/>
              <w:right w:val="single" w:sz="8" w:space="0" w:color="000000"/>
            </w:tcBorders>
            <w:vAlign w:val="center"/>
          </w:tcPr>
          <w:p>
            <w:pPr>
              <w:pStyle w:val="Normal"/>
              <w:spacing w:before="0" w:after="200"/>
              <w:jc w:val="center"/>
              <w:rPr>
                <w:color w:val="auto"/>
                <w:sz w:val="16"/>
                <w:szCs w:val="16"/>
              </w:rPr>
            </w:pPr>
            <w:r>
              <w:rPr>
                <w:color w:val="auto"/>
                <w:sz w:val="16"/>
                <w:szCs w:val="16"/>
              </w:rPr>
            </w:r>
          </w:p>
        </w:tc>
        <w:tc>
          <w:tcPr>
            <w:tcW w:w="870" w:type="dxa"/>
            <w:tcBorders>
              <w:bottom w:val="single" w:sz="8" w:space="0" w:color="000000"/>
              <w:right w:val="single" w:sz="8" w:space="0" w:color="000000"/>
            </w:tcBorders>
            <w:vAlign w:val="center"/>
          </w:tcPr>
          <w:p>
            <w:pPr>
              <w:pStyle w:val="Normal"/>
              <w:spacing w:before="0" w:after="200"/>
              <w:jc w:val="center"/>
              <w:rPr>
                <w:color w:val="auto"/>
                <w:sz w:val="16"/>
                <w:szCs w:val="16"/>
              </w:rPr>
            </w:pPr>
            <w:r>
              <w:rPr>
                <w:color w:val="auto"/>
                <w:sz w:val="16"/>
                <w:szCs w:val="16"/>
              </w:rPr>
            </w:r>
          </w:p>
        </w:tc>
        <w:tc>
          <w:tcPr>
            <w:tcW w:w="1256" w:type="dxa"/>
            <w:tcBorders>
              <w:bottom w:val="single" w:sz="8" w:space="0" w:color="000000"/>
              <w:right w:val="single" w:sz="8" w:space="0" w:color="000000"/>
            </w:tcBorders>
            <w:tcMar>
              <w:left w:w="108" w:type="dxa"/>
              <w:right w:w="108" w:type="dxa"/>
            </w:tcMar>
          </w:tcPr>
          <w:p>
            <w:pPr>
              <w:pStyle w:val="Normal"/>
              <w:spacing w:before="0" w:after="200"/>
              <w:jc w:val="center"/>
              <w:rPr>
                <w:color w:val="auto"/>
                <w:sz w:val="16"/>
                <w:szCs w:val="16"/>
              </w:rPr>
            </w:pPr>
            <w:r>
              <w:rPr>
                <w:color w:val="auto"/>
                <w:sz w:val="16"/>
                <w:szCs w:val="16"/>
              </w:rPr>
            </w:r>
          </w:p>
        </w:tc>
        <w:tc>
          <w:tcPr>
            <w:tcW w:w="1138"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r>
      <w:tr>
        <w:trPr/>
        <w:tc>
          <w:tcPr>
            <w:tcW w:w="2538" w:type="dxa"/>
            <w:tcBorders>
              <w:left w:val="single" w:sz="8" w:space="0" w:color="000000"/>
              <w:bottom w:val="single" w:sz="8" w:space="0" w:color="000000"/>
              <w:right w:val="single" w:sz="8" w:space="0" w:color="000000"/>
            </w:tcBorders>
            <w:vAlign w:val="center"/>
          </w:tcPr>
          <w:p>
            <w:pPr>
              <w:pStyle w:val="Normal"/>
              <w:spacing w:before="0" w:after="200"/>
              <w:ind w:left="170"/>
              <w:rPr>
                <w:color w:val="auto"/>
              </w:rPr>
            </w:pPr>
            <w:r>
              <w:rPr>
                <w:rFonts w:cs="Arial" w:ascii="Arial" w:hAnsi="Arial"/>
                <w:color w:val="auto"/>
                <w:sz w:val="16"/>
                <w:szCs w:val="16"/>
              </w:rPr>
              <w:t>1.7. Pralaidumas vandeniui</w:t>
            </w:r>
          </w:p>
        </w:tc>
        <w:tc>
          <w:tcPr>
            <w:tcW w:w="1336"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1 ėminys kiekvieniems 6000 m</w:t>
            </w:r>
            <w:r>
              <w:rPr>
                <w:rFonts w:cs="Arial" w:ascii="Arial" w:hAnsi="Arial"/>
                <w:color w:val="auto"/>
                <w:sz w:val="16"/>
                <w:szCs w:val="16"/>
                <w:vertAlign w:val="superscript"/>
              </w:rPr>
              <w:t>2</w:t>
            </w:r>
          </w:p>
        </w:tc>
        <w:tc>
          <w:tcPr>
            <w:tcW w:w="705"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656"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705" w:type="dxa"/>
            <w:tcBorders>
              <w:bottom w:val="single" w:sz="8" w:space="0" w:color="000000"/>
              <w:right w:val="single" w:sz="8" w:space="0" w:color="000000"/>
            </w:tcBorders>
            <w:vAlign w:val="center"/>
          </w:tcPr>
          <w:p>
            <w:pPr>
              <w:pStyle w:val="Normal"/>
              <w:spacing w:before="0" w:after="200"/>
              <w:jc w:val="center"/>
              <w:rPr>
                <w:color w:val="auto"/>
                <w:sz w:val="16"/>
                <w:szCs w:val="16"/>
              </w:rPr>
            </w:pPr>
            <w:r>
              <w:rPr>
                <w:color w:val="auto"/>
                <w:sz w:val="16"/>
                <w:szCs w:val="16"/>
              </w:rPr>
            </w:r>
          </w:p>
        </w:tc>
        <w:tc>
          <w:tcPr>
            <w:tcW w:w="709" w:type="dxa"/>
            <w:tcBorders>
              <w:bottom w:val="single" w:sz="8" w:space="0" w:color="000000"/>
              <w:right w:val="single" w:sz="8" w:space="0" w:color="000000"/>
            </w:tcBorders>
            <w:vAlign w:val="center"/>
          </w:tcPr>
          <w:p>
            <w:pPr>
              <w:pStyle w:val="Normal"/>
              <w:spacing w:before="0" w:after="200"/>
              <w:jc w:val="center"/>
              <w:rPr>
                <w:color w:val="auto"/>
                <w:sz w:val="16"/>
                <w:szCs w:val="16"/>
              </w:rPr>
            </w:pPr>
            <w:r>
              <w:rPr>
                <w:color w:val="auto"/>
                <w:sz w:val="16"/>
                <w:szCs w:val="16"/>
              </w:rPr>
            </w:r>
          </w:p>
        </w:tc>
        <w:tc>
          <w:tcPr>
            <w:tcW w:w="870" w:type="dxa"/>
            <w:tcBorders>
              <w:bottom w:val="single" w:sz="8" w:space="0" w:color="000000"/>
              <w:right w:val="single" w:sz="8" w:space="0" w:color="000000"/>
            </w:tcBorders>
            <w:vAlign w:val="center"/>
          </w:tcPr>
          <w:p>
            <w:pPr>
              <w:pStyle w:val="Normal"/>
              <w:spacing w:before="0" w:after="200"/>
              <w:jc w:val="center"/>
              <w:rPr>
                <w:color w:val="auto"/>
                <w:sz w:val="16"/>
                <w:szCs w:val="16"/>
              </w:rPr>
            </w:pPr>
            <w:r>
              <w:rPr>
                <w:color w:val="auto"/>
                <w:sz w:val="16"/>
                <w:szCs w:val="16"/>
              </w:rPr>
            </w:r>
          </w:p>
        </w:tc>
        <w:tc>
          <w:tcPr>
            <w:tcW w:w="1256" w:type="dxa"/>
            <w:tcBorders>
              <w:bottom w:val="single" w:sz="8" w:space="0" w:color="000000"/>
              <w:right w:val="single" w:sz="8" w:space="0" w:color="000000"/>
            </w:tcBorders>
            <w:tcMar>
              <w:left w:w="108" w:type="dxa"/>
              <w:right w:w="108" w:type="dxa"/>
            </w:tcMar>
          </w:tcPr>
          <w:p>
            <w:pPr>
              <w:pStyle w:val="Normal"/>
              <w:spacing w:before="0" w:after="200"/>
              <w:jc w:val="center"/>
              <w:rPr>
                <w:color w:val="auto"/>
                <w:sz w:val="16"/>
                <w:szCs w:val="16"/>
              </w:rPr>
            </w:pPr>
            <w:r>
              <w:rPr>
                <w:color w:val="auto"/>
                <w:sz w:val="16"/>
                <w:szCs w:val="16"/>
              </w:rPr>
            </w:r>
          </w:p>
        </w:tc>
        <w:tc>
          <w:tcPr>
            <w:tcW w:w="1138" w:type="dxa"/>
            <w:tcBorders>
              <w:bottom w:val="single" w:sz="8" w:space="0" w:color="000000"/>
              <w:right w:val="single" w:sz="8" w:space="0" w:color="000000"/>
            </w:tcBorders>
            <w:vAlign w:val="center"/>
          </w:tcPr>
          <w:p>
            <w:pPr>
              <w:pStyle w:val="Normal"/>
              <w:spacing w:before="0" w:after="200"/>
              <w:jc w:val="center"/>
              <w:rPr>
                <w:color w:val="auto"/>
                <w:sz w:val="16"/>
                <w:szCs w:val="16"/>
              </w:rPr>
            </w:pPr>
            <w:r>
              <w:rPr>
                <w:color w:val="auto"/>
                <w:sz w:val="16"/>
                <w:szCs w:val="16"/>
              </w:rPr>
            </w:r>
          </w:p>
        </w:tc>
      </w:tr>
      <w:tr>
        <w:trPr/>
        <w:tc>
          <w:tcPr>
            <w:tcW w:w="2538" w:type="dxa"/>
            <w:vMerge w:val="restart"/>
            <w:tcBorders>
              <w:left w:val="single" w:sz="8" w:space="0" w:color="000000"/>
              <w:bottom w:val="single" w:sz="8" w:space="0" w:color="000000"/>
              <w:right w:val="single" w:sz="8" w:space="0" w:color="000000"/>
            </w:tcBorders>
            <w:vAlign w:val="center"/>
          </w:tcPr>
          <w:p>
            <w:pPr>
              <w:pStyle w:val="Normal"/>
              <w:spacing w:before="0" w:after="200"/>
              <w:ind w:left="170"/>
              <w:rPr>
                <w:color w:val="auto"/>
              </w:rPr>
            </w:pPr>
            <w:r>
              <w:rPr>
                <w:rFonts w:cs="Arial" w:ascii="Arial" w:hAnsi="Arial"/>
                <w:color w:val="auto"/>
                <w:sz w:val="16"/>
                <w:szCs w:val="16"/>
              </w:rPr>
              <w:t>1.8. Trupintųjų ir skaldytųjų dalelių santykinis kiekis</w:t>
            </w:r>
          </w:p>
        </w:tc>
        <w:tc>
          <w:tcPr>
            <w:tcW w:w="1336"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1 ėminys kiekvieniems 6000 m</w:t>
            </w:r>
            <w:r>
              <w:rPr>
                <w:rFonts w:cs="Arial" w:ascii="Arial" w:hAnsi="Arial"/>
                <w:color w:val="auto"/>
                <w:sz w:val="16"/>
                <w:szCs w:val="16"/>
                <w:vertAlign w:val="superscript"/>
              </w:rPr>
              <w:t>2</w:t>
            </w:r>
          </w:p>
        </w:tc>
        <w:tc>
          <w:tcPr>
            <w:tcW w:w="705" w:type="dxa"/>
            <w:tcBorders>
              <w:bottom w:val="single" w:sz="8" w:space="0" w:color="000000"/>
              <w:right w:val="single" w:sz="8" w:space="0" w:color="000000"/>
            </w:tcBorders>
            <w:vAlign w:val="center"/>
          </w:tcPr>
          <w:p>
            <w:pPr>
              <w:pStyle w:val="Normal"/>
              <w:spacing w:before="0" w:after="200"/>
              <w:jc w:val="center"/>
              <w:rPr>
                <w:color w:val="auto"/>
                <w:sz w:val="16"/>
                <w:szCs w:val="16"/>
              </w:rPr>
            </w:pPr>
            <w:r>
              <w:rPr>
                <w:color w:val="auto"/>
                <w:sz w:val="16"/>
                <w:szCs w:val="16"/>
              </w:rPr>
            </w:r>
          </w:p>
        </w:tc>
        <w:tc>
          <w:tcPr>
            <w:tcW w:w="656" w:type="dxa"/>
            <w:tcBorders>
              <w:bottom w:val="single" w:sz="8" w:space="0" w:color="000000"/>
              <w:right w:val="single" w:sz="8" w:space="0" w:color="000000"/>
            </w:tcBorders>
            <w:vAlign w:val="center"/>
          </w:tcPr>
          <w:p>
            <w:pPr>
              <w:pStyle w:val="Normal"/>
              <w:spacing w:before="0" w:after="200"/>
              <w:jc w:val="center"/>
              <w:rPr>
                <w:color w:val="auto"/>
                <w:sz w:val="16"/>
                <w:szCs w:val="16"/>
              </w:rPr>
            </w:pPr>
            <w:r>
              <w:rPr>
                <w:color w:val="auto"/>
                <w:sz w:val="16"/>
                <w:szCs w:val="16"/>
              </w:rPr>
            </w:r>
          </w:p>
        </w:tc>
        <w:tc>
          <w:tcPr>
            <w:tcW w:w="705" w:type="dxa"/>
            <w:tcBorders>
              <w:bottom w:val="single" w:sz="8" w:space="0" w:color="000000"/>
              <w:right w:val="single" w:sz="8" w:space="0" w:color="000000"/>
            </w:tcBorders>
            <w:vAlign w:val="center"/>
          </w:tcPr>
          <w:p>
            <w:pPr>
              <w:pStyle w:val="Normal"/>
              <w:spacing w:before="0" w:after="200"/>
              <w:jc w:val="center"/>
              <w:rPr>
                <w:color w:val="auto"/>
                <w:sz w:val="16"/>
                <w:szCs w:val="16"/>
              </w:rPr>
            </w:pPr>
            <w:r>
              <w:rPr>
                <w:color w:val="auto"/>
                <w:sz w:val="16"/>
                <w:szCs w:val="16"/>
              </w:rPr>
            </w:r>
          </w:p>
        </w:tc>
        <w:tc>
          <w:tcPr>
            <w:tcW w:w="709"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870"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1256" w:type="dxa"/>
            <w:tcBorders>
              <w:bottom w:val="single" w:sz="8" w:space="0" w:color="000000"/>
              <w:right w:val="single" w:sz="8" w:space="0" w:color="000000"/>
            </w:tcBorders>
            <w:tcMar>
              <w:left w:w="108" w:type="dxa"/>
              <w:right w:w="108" w:type="dxa"/>
            </w:tcMar>
          </w:tcPr>
          <w:p>
            <w:pPr>
              <w:pStyle w:val="Normal"/>
              <w:spacing w:before="0" w:after="200"/>
              <w:jc w:val="center"/>
              <w:rPr>
                <w:color w:val="auto"/>
                <w:sz w:val="16"/>
                <w:szCs w:val="16"/>
              </w:rPr>
            </w:pPr>
            <w:r>
              <w:rPr>
                <w:color w:val="auto"/>
                <w:sz w:val="16"/>
                <w:szCs w:val="16"/>
              </w:rPr>
            </w:r>
          </w:p>
        </w:tc>
        <w:tc>
          <w:tcPr>
            <w:tcW w:w="1138" w:type="dxa"/>
            <w:tcBorders>
              <w:bottom w:val="single" w:sz="8" w:space="0" w:color="000000"/>
              <w:right w:val="single" w:sz="8" w:space="0" w:color="000000"/>
            </w:tcBorders>
            <w:vAlign w:val="center"/>
          </w:tcPr>
          <w:p>
            <w:pPr>
              <w:pStyle w:val="Normal"/>
              <w:spacing w:before="0" w:after="200"/>
              <w:jc w:val="center"/>
              <w:rPr>
                <w:color w:val="auto"/>
                <w:sz w:val="16"/>
                <w:szCs w:val="16"/>
              </w:rPr>
            </w:pPr>
            <w:r>
              <w:rPr>
                <w:color w:val="auto"/>
                <w:sz w:val="16"/>
                <w:szCs w:val="16"/>
              </w:rPr>
            </w:r>
          </w:p>
        </w:tc>
      </w:tr>
      <w:tr>
        <w:trPr/>
        <w:tc>
          <w:tcPr>
            <w:tcW w:w="2538" w:type="dxa"/>
            <w:vMerge w:val="continue"/>
            <w:tcBorders>
              <w:left w:val="single" w:sz="8" w:space="0" w:color="000000"/>
              <w:bottom w:val="single" w:sz="8" w:space="0" w:color="000000"/>
              <w:right w:val="single" w:sz="8" w:space="0" w:color="000000"/>
            </w:tcBorders>
            <w:vAlign w:val="center"/>
          </w:tcPr>
          <w:p>
            <w:pPr>
              <w:pStyle w:val="Normal"/>
              <w:spacing w:before="0" w:after="200"/>
              <w:rPr>
                <w:rFonts w:ascii="Arial" w:hAnsi="Arial" w:cs="Arial"/>
                <w:color w:val="auto"/>
                <w:sz w:val="16"/>
                <w:szCs w:val="16"/>
              </w:rPr>
            </w:pPr>
            <w:r>
              <w:rPr>
                <w:rFonts w:cs="Arial" w:ascii="Arial" w:hAnsi="Arial"/>
                <w:color w:val="auto"/>
                <w:sz w:val="16"/>
                <w:szCs w:val="16"/>
              </w:rPr>
            </w:r>
          </w:p>
        </w:tc>
        <w:tc>
          <w:tcPr>
            <w:tcW w:w="1336"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1 ėminys kiekvieniems 3000 m</w:t>
            </w:r>
            <w:r>
              <w:rPr>
                <w:rFonts w:cs="Arial" w:ascii="Arial" w:hAnsi="Arial"/>
                <w:color w:val="auto"/>
                <w:sz w:val="16"/>
                <w:szCs w:val="16"/>
                <w:vertAlign w:val="superscript"/>
              </w:rPr>
              <w:t>2</w:t>
            </w:r>
          </w:p>
        </w:tc>
        <w:tc>
          <w:tcPr>
            <w:tcW w:w="705" w:type="dxa"/>
            <w:tcBorders>
              <w:bottom w:val="single" w:sz="8" w:space="0" w:color="000000"/>
              <w:right w:val="single" w:sz="8" w:space="0" w:color="000000"/>
            </w:tcBorders>
            <w:vAlign w:val="center"/>
          </w:tcPr>
          <w:p>
            <w:pPr>
              <w:pStyle w:val="Normal"/>
              <w:spacing w:before="0" w:after="200"/>
              <w:jc w:val="center"/>
              <w:rPr>
                <w:color w:val="auto"/>
                <w:sz w:val="16"/>
                <w:szCs w:val="16"/>
              </w:rPr>
            </w:pPr>
            <w:r>
              <w:rPr>
                <w:color w:val="auto"/>
                <w:sz w:val="16"/>
                <w:szCs w:val="16"/>
              </w:rPr>
            </w:r>
          </w:p>
        </w:tc>
        <w:tc>
          <w:tcPr>
            <w:tcW w:w="656" w:type="dxa"/>
            <w:tcBorders>
              <w:bottom w:val="single" w:sz="8" w:space="0" w:color="000000"/>
              <w:right w:val="single" w:sz="8" w:space="0" w:color="000000"/>
            </w:tcBorders>
            <w:vAlign w:val="center"/>
          </w:tcPr>
          <w:p>
            <w:pPr>
              <w:pStyle w:val="Normal"/>
              <w:spacing w:before="0" w:after="200"/>
              <w:jc w:val="center"/>
              <w:rPr>
                <w:color w:val="auto"/>
                <w:sz w:val="16"/>
                <w:szCs w:val="16"/>
              </w:rPr>
            </w:pPr>
            <w:r>
              <w:rPr>
                <w:color w:val="auto"/>
                <w:sz w:val="16"/>
                <w:szCs w:val="16"/>
              </w:rPr>
            </w:r>
          </w:p>
        </w:tc>
        <w:tc>
          <w:tcPr>
            <w:tcW w:w="705" w:type="dxa"/>
            <w:tcBorders>
              <w:bottom w:val="single" w:sz="8" w:space="0" w:color="000000"/>
              <w:right w:val="single" w:sz="8" w:space="0" w:color="000000"/>
            </w:tcBorders>
            <w:vAlign w:val="center"/>
          </w:tcPr>
          <w:p>
            <w:pPr>
              <w:pStyle w:val="Normal"/>
              <w:spacing w:before="0" w:after="200"/>
              <w:jc w:val="center"/>
              <w:rPr>
                <w:color w:val="auto"/>
                <w:sz w:val="16"/>
                <w:szCs w:val="16"/>
              </w:rPr>
            </w:pPr>
            <w:r>
              <w:rPr>
                <w:color w:val="auto"/>
                <w:sz w:val="16"/>
                <w:szCs w:val="16"/>
              </w:rPr>
            </w:r>
          </w:p>
        </w:tc>
        <w:tc>
          <w:tcPr>
            <w:tcW w:w="709" w:type="dxa"/>
            <w:tcBorders>
              <w:bottom w:val="single" w:sz="8" w:space="0" w:color="000000"/>
              <w:right w:val="single" w:sz="8" w:space="0" w:color="000000"/>
            </w:tcBorders>
            <w:vAlign w:val="center"/>
          </w:tcPr>
          <w:p>
            <w:pPr>
              <w:pStyle w:val="Normal"/>
              <w:spacing w:before="0" w:after="200"/>
              <w:jc w:val="center"/>
              <w:rPr>
                <w:color w:val="auto"/>
                <w:sz w:val="16"/>
                <w:szCs w:val="16"/>
              </w:rPr>
            </w:pPr>
            <w:r>
              <w:rPr>
                <w:color w:val="auto"/>
                <w:sz w:val="16"/>
                <w:szCs w:val="16"/>
              </w:rPr>
            </w:r>
          </w:p>
        </w:tc>
        <w:tc>
          <w:tcPr>
            <w:tcW w:w="870" w:type="dxa"/>
            <w:tcBorders>
              <w:bottom w:val="single" w:sz="8" w:space="0" w:color="000000"/>
              <w:right w:val="single" w:sz="8" w:space="0" w:color="000000"/>
            </w:tcBorders>
            <w:vAlign w:val="center"/>
          </w:tcPr>
          <w:p>
            <w:pPr>
              <w:pStyle w:val="Normal"/>
              <w:spacing w:before="0" w:after="200"/>
              <w:jc w:val="center"/>
              <w:rPr>
                <w:color w:val="auto"/>
                <w:sz w:val="16"/>
                <w:szCs w:val="16"/>
              </w:rPr>
            </w:pPr>
            <w:r>
              <w:rPr>
                <w:color w:val="auto"/>
                <w:sz w:val="16"/>
                <w:szCs w:val="16"/>
              </w:rPr>
            </w:r>
          </w:p>
        </w:tc>
        <w:tc>
          <w:tcPr>
            <w:tcW w:w="1256" w:type="dxa"/>
            <w:tcBorders>
              <w:bottom w:val="single" w:sz="8" w:space="0" w:color="000000"/>
              <w:right w:val="single" w:sz="8" w:space="0" w:color="000000"/>
            </w:tcBorders>
            <w:tcMar>
              <w:left w:w="108" w:type="dxa"/>
              <w:right w:w="108" w:type="dxa"/>
            </w:tcMar>
          </w:tcPr>
          <w:p>
            <w:pPr>
              <w:pStyle w:val="Normal"/>
              <w:spacing w:before="0" w:after="200"/>
              <w:jc w:val="center"/>
              <w:rPr>
                <w:color w:val="auto"/>
                <w:sz w:val="16"/>
                <w:szCs w:val="16"/>
              </w:rPr>
            </w:pPr>
            <w:r>
              <w:rPr>
                <w:color w:val="auto"/>
                <w:sz w:val="16"/>
                <w:szCs w:val="16"/>
              </w:rPr>
            </w:r>
          </w:p>
        </w:tc>
        <w:tc>
          <w:tcPr>
            <w:tcW w:w="1138"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r>
      <w:tr>
        <w:trPr/>
        <w:tc>
          <w:tcPr>
            <w:tcW w:w="2538" w:type="dxa"/>
            <w:tcBorders>
              <w:left w:val="single" w:sz="8" w:space="0" w:color="000000"/>
              <w:bottom w:val="single" w:sz="8" w:space="0" w:color="000000"/>
              <w:right w:val="single" w:sz="8" w:space="0" w:color="000000"/>
            </w:tcBorders>
            <w:vAlign w:val="center"/>
          </w:tcPr>
          <w:p>
            <w:pPr>
              <w:pStyle w:val="Normal"/>
              <w:spacing w:before="0" w:after="200"/>
              <w:ind w:left="170"/>
              <w:rPr>
                <w:color w:val="auto"/>
              </w:rPr>
            </w:pPr>
            <w:r>
              <w:rPr>
                <w:rFonts w:cs="Arial" w:ascii="Arial" w:hAnsi="Arial"/>
                <w:color w:val="auto"/>
                <w:sz w:val="16"/>
                <w:szCs w:val="16"/>
              </w:rPr>
              <w:t>1.9. Atsparumas trupinimui</w:t>
            </w:r>
          </w:p>
        </w:tc>
        <w:tc>
          <w:tcPr>
            <w:tcW w:w="1336"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1 ėminys kiekvieniems 6000 m</w:t>
            </w:r>
            <w:r>
              <w:rPr>
                <w:rFonts w:cs="Arial" w:ascii="Arial" w:hAnsi="Arial"/>
                <w:color w:val="auto"/>
                <w:sz w:val="16"/>
                <w:szCs w:val="16"/>
                <w:vertAlign w:val="superscript"/>
              </w:rPr>
              <w:t>2</w:t>
            </w:r>
          </w:p>
        </w:tc>
        <w:tc>
          <w:tcPr>
            <w:tcW w:w="705" w:type="dxa"/>
            <w:tcBorders>
              <w:bottom w:val="single" w:sz="8" w:space="0" w:color="000000"/>
              <w:right w:val="single" w:sz="8" w:space="0" w:color="000000"/>
            </w:tcBorders>
            <w:vAlign w:val="center"/>
          </w:tcPr>
          <w:p>
            <w:pPr>
              <w:pStyle w:val="Normal"/>
              <w:spacing w:before="0" w:after="200"/>
              <w:jc w:val="center"/>
              <w:rPr>
                <w:color w:val="auto"/>
                <w:sz w:val="16"/>
                <w:szCs w:val="16"/>
              </w:rPr>
            </w:pPr>
            <w:r>
              <w:rPr>
                <w:color w:val="auto"/>
                <w:sz w:val="16"/>
                <w:szCs w:val="16"/>
              </w:rPr>
            </w:r>
          </w:p>
        </w:tc>
        <w:tc>
          <w:tcPr>
            <w:tcW w:w="656" w:type="dxa"/>
            <w:tcBorders>
              <w:bottom w:val="single" w:sz="8" w:space="0" w:color="000000"/>
              <w:right w:val="single" w:sz="8" w:space="0" w:color="000000"/>
            </w:tcBorders>
            <w:vAlign w:val="center"/>
          </w:tcPr>
          <w:p>
            <w:pPr>
              <w:pStyle w:val="Normal"/>
              <w:spacing w:before="0" w:after="200"/>
              <w:jc w:val="center"/>
              <w:rPr>
                <w:color w:val="auto"/>
                <w:sz w:val="16"/>
                <w:szCs w:val="16"/>
              </w:rPr>
            </w:pPr>
            <w:r>
              <w:rPr>
                <w:color w:val="auto"/>
                <w:sz w:val="16"/>
                <w:szCs w:val="16"/>
              </w:rPr>
            </w:r>
          </w:p>
        </w:tc>
        <w:tc>
          <w:tcPr>
            <w:tcW w:w="705"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709"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870"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1256" w:type="dxa"/>
            <w:tcBorders>
              <w:bottom w:val="single" w:sz="8" w:space="0" w:color="000000"/>
              <w:right w:val="single" w:sz="8" w:space="0" w:color="000000"/>
            </w:tcBorders>
            <w:tcMar>
              <w:left w:w="108" w:type="dxa"/>
              <w:right w:w="108" w:type="dxa"/>
            </w:tcMar>
          </w:tcPr>
          <w:p>
            <w:pPr>
              <w:pStyle w:val="Normal"/>
              <w:spacing w:before="0" w:after="200"/>
              <w:jc w:val="center"/>
              <w:rPr>
                <w:color w:val="auto"/>
                <w:sz w:val="16"/>
                <w:szCs w:val="16"/>
              </w:rPr>
            </w:pPr>
            <w:r>
              <w:rPr>
                <w:color w:val="auto"/>
                <w:sz w:val="16"/>
                <w:szCs w:val="16"/>
              </w:rPr>
            </w:r>
          </w:p>
        </w:tc>
        <w:tc>
          <w:tcPr>
            <w:tcW w:w="1138" w:type="dxa"/>
            <w:tcBorders>
              <w:bottom w:val="single" w:sz="8" w:space="0" w:color="000000"/>
              <w:right w:val="single" w:sz="8" w:space="0" w:color="000000"/>
            </w:tcBorders>
            <w:vAlign w:val="center"/>
          </w:tcPr>
          <w:p>
            <w:pPr>
              <w:pStyle w:val="Normal"/>
              <w:spacing w:before="0" w:after="200"/>
              <w:jc w:val="center"/>
              <w:rPr>
                <w:color w:val="auto"/>
                <w:sz w:val="16"/>
                <w:szCs w:val="16"/>
              </w:rPr>
            </w:pPr>
            <w:r>
              <w:rPr>
                <w:color w:val="auto"/>
                <w:sz w:val="16"/>
                <w:szCs w:val="16"/>
              </w:rPr>
            </w:r>
          </w:p>
        </w:tc>
      </w:tr>
      <w:tr>
        <w:trPr/>
        <w:tc>
          <w:tcPr>
            <w:tcW w:w="2538" w:type="dxa"/>
            <w:tcBorders>
              <w:left w:val="single" w:sz="8" w:space="0" w:color="000000"/>
              <w:bottom w:val="single" w:sz="8" w:space="0" w:color="000000"/>
              <w:right w:val="single" w:sz="8" w:space="0" w:color="000000"/>
            </w:tcBorders>
            <w:vAlign w:val="center"/>
          </w:tcPr>
          <w:p>
            <w:pPr>
              <w:pStyle w:val="Normal"/>
              <w:spacing w:before="0" w:after="200"/>
              <w:ind w:left="170"/>
              <w:rPr>
                <w:color w:val="auto"/>
              </w:rPr>
            </w:pPr>
            <w:r>
              <w:rPr>
                <w:rFonts w:cs="Arial" w:ascii="Arial" w:hAnsi="Arial"/>
                <w:color w:val="auto"/>
                <w:sz w:val="16"/>
                <w:szCs w:val="16"/>
              </w:rPr>
              <w:t>1.10. Atsparumas smūgiams</w:t>
            </w:r>
          </w:p>
        </w:tc>
        <w:tc>
          <w:tcPr>
            <w:tcW w:w="1336"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1 ėminys kiekvieniems 6000 m</w:t>
            </w:r>
            <w:r>
              <w:rPr>
                <w:rFonts w:cs="Arial" w:ascii="Arial" w:hAnsi="Arial"/>
                <w:color w:val="auto"/>
                <w:sz w:val="16"/>
                <w:szCs w:val="16"/>
                <w:vertAlign w:val="superscript"/>
              </w:rPr>
              <w:t>2</w:t>
            </w:r>
          </w:p>
        </w:tc>
        <w:tc>
          <w:tcPr>
            <w:tcW w:w="705" w:type="dxa"/>
            <w:tcBorders>
              <w:bottom w:val="single" w:sz="8" w:space="0" w:color="000000"/>
              <w:right w:val="single" w:sz="8" w:space="0" w:color="000000"/>
            </w:tcBorders>
            <w:vAlign w:val="center"/>
          </w:tcPr>
          <w:p>
            <w:pPr>
              <w:pStyle w:val="Normal"/>
              <w:spacing w:before="0" w:after="200"/>
              <w:jc w:val="center"/>
              <w:rPr>
                <w:color w:val="auto"/>
                <w:sz w:val="16"/>
                <w:szCs w:val="16"/>
              </w:rPr>
            </w:pPr>
            <w:r>
              <w:rPr>
                <w:color w:val="auto"/>
                <w:sz w:val="16"/>
                <w:szCs w:val="16"/>
              </w:rPr>
            </w:r>
          </w:p>
        </w:tc>
        <w:tc>
          <w:tcPr>
            <w:tcW w:w="656" w:type="dxa"/>
            <w:tcBorders>
              <w:bottom w:val="single" w:sz="8" w:space="0" w:color="000000"/>
              <w:right w:val="single" w:sz="8" w:space="0" w:color="000000"/>
            </w:tcBorders>
            <w:vAlign w:val="center"/>
          </w:tcPr>
          <w:p>
            <w:pPr>
              <w:pStyle w:val="Normal"/>
              <w:spacing w:before="0" w:after="200"/>
              <w:jc w:val="center"/>
              <w:rPr>
                <w:color w:val="auto"/>
                <w:sz w:val="16"/>
                <w:szCs w:val="16"/>
              </w:rPr>
            </w:pPr>
            <w:r>
              <w:rPr>
                <w:color w:val="auto"/>
                <w:sz w:val="16"/>
                <w:szCs w:val="16"/>
              </w:rPr>
            </w:r>
          </w:p>
        </w:tc>
        <w:tc>
          <w:tcPr>
            <w:tcW w:w="705"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709"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870" w:type="dxa"/>
            <w:tcBorders>
              <w:bottom w:val="single" w:sz="8" w:space="0" w:color="000000"/>
              <w:right w:val="single" w:sz="8" w:space="0" w:color="000000"/>
            </w:tcBorders>
            <w:vAlign w:val="center"/>
          </w:tcPr>
          <w:p>
            <w:pPr>
              <w:pStyle w:val="Normal"/>
              <w:spacing w:before="0" w:after="200"/>
              <w:jc w:val="center"/>
              <w:rPr>
                <w:color w:val="auto"/>
                <w:sz w:val="16"/>
                <w:szCs w:val="16"/>
              </w:rPr>
            </w:pPr>
            <w:r>
              <w:rPr>
                <w:color w:val="auto"/>
                <w:sz w:val="16"/>
                <w:szCs w:val="16"/>
              </w:rPr>
            </w:r>
          </w:p>
        </w:tc>
        <w:tc>
          <w:tcPr>
            <w:tcW w:w="1256" w:type="dxa"/>
            <w:tcBorders>
              <w:bottom w:val="single" w:sz="8" w:space="0" w:color="000000"/>
              <w:right w:val="single" w:sz="8" w:space="0" w:color="000000"/>
            </w:tcBorders>
            <w:tcMar>
              <w:left w:w="108" w:type="dxa"/>
              <w:right w:w="108" w:type="dxa"/>
            </w:tcMar>
          </w:tcPr>
          <w:p>
            <w:pPr>
              <w:pStyle w:val="Normal"/>
              <w:spacing w:before="0" w:after="200"/>
              <w:jc w:val="center"/>
              <w:rPr>
                <w:color w:val="auto"/>
                <w:sz w:val="16"/>
                <w:szCs w:val="16"/>
              </w:rPr>
            </w:pPr>
            <w:r>
              <w:rPr>
                <w:color w:val="auto"/>
                <w:sz w:val="16"/>
                <w:szCs w:val="16"/>
              </w:rPr>
            </w:r>
          </w:p>
        </w:tc>
        <w:tc>
          <w:tcPr>
            <w:tcW w:w="1138" w:type="dxa"/>
            <w:tcBorders>
              <w:bottom w:val="single" w:sz="8" w:space="0" w:color="000000"/>
              <w:right w:val="single" w:sz="8" w:space="0" w:color="000000"/>
            </w:tcBorders>
            <w:vAlign w:val="center"/>
          </w:tcPr>
          <w:p>
            <w:pPr>
              <w:pStyle w:val="Normal"/>
              <w:spacing w:before="0" w:after="200"/>
              <w:jc w:val="center"/>
              <w:rPr>
                <w:color w:val="auto"/>
                <w:sz w:val="16"/>
                <w:szCs w:val="16"/>
              </w:rPr>
            </w:pPr>
            <w:r>
              <w:rPr>
                <w:color w:val="auto"/>
                <w:sz w:val="16"/>
                <w:szCs w:val="16"/>
              </w:rPr>
            </w:r>
          </w:p>
        </w:tc>
      </w:tr>
      <w:tr>
        <w:trPr/>
        <w:tc>
          <w:tcPr>
            <w:tcW w:w="2538" w:type="dxa"/>
            <w:tcBorders>
              <w:left w:val="single" w:sz="8" w:space="0" w:color="000000"/>
              <w:bottom w:val="single" w:sz="8" w:space="0" w:color="000000"/>
              <w:right w:val="single" w:sz="8" w:space="0" w:color="000000"/>
            </w:tcBorders>
            <w:vAlign w:val="center"/>
          </w:tcPr>
          <w:p>
            <w:pPr>
              <w:pStyle w:val="Normal"/>
              <w:spacing w:before="0" w:after="200"/>
              <w:ind w:left="170"/>
              <w:rPr>
                <w:color w:val="auto"/>
              </w:rPr>
            </w:pPr>
            <w:r>
              <w:rPr>
                <w:rFonts w:cs="Arial" w:ascii="Arial" w:hAnsi="Arial"/>
                <w:color w:val="auto"/>
                <w:sz w:val="16"/>
                <w:szCs w:val="16"/>
              </w:rPr>
              <w:t>1.11. Laikomosios gebos Kalifornijos rodiklis (CBR vertė)</w:t>
            </w:r>
          </w:p>
        </w:tc>
        <w:tc>
          <w:tcPr>
            <w:tcW w:w="1336"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1 ėminys kiekvieniems 12000 m</w:t>
            </w:r>
            <w:r>
              <w:rPr>
                <w:rFonts w:cs="Arial" w:ascii="Arial" w:hAnsi="Arial"/>
                <w:color w:val="auto"/>
                <w:sz w:val="16"/>
                <w:szCs w:val="16"/>
                <w:vertAlign w:val="superscript"/>
              </w:rPr>
              <w:t>2</w:t>
            </w:r>
          </w:p>
        </w:tc>
        <w:tc>
          <w:tcPr>
            <w:tcW w:w="705"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656"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705" w:type="dxa"/>
            <w:tcBorders>
              <w:bottom w:val="single" w:sz="8" w:space="0" w:color="000000"/>
              <w:right w:val="single" w:sz="8" w:space="0" w:color="000000"/>
            </w:tcBorders>
            <w:vAlign w:val="center"/>
          </w:tcPr>
          <w:p>
            <w:pPr>
              <w:pStyle w:val="Normal"/>
              <w:spacing w:before="0" w:after="200"/>
              <w:jc w:val="center"/>
              <w:rPr>
                <w:color w:val="auto"/>
                <w:sz w:val="16"/>
                <w:szCs w:val="16"/>
              </w:rPr>
            </w:pPr>
            <w:r>
              <w:rPr>
                <w:color w:val="auto"/>
                <w:sz w:val="16"/>
                <w:szCs w:val="16"/>
              </w:rPr>
            </w:r>
          </w:p>
        </w:tc>
        <w:tc>
          <w:tcPr>
            <w:tcW w:w="709"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r>
              <w:rPr>
                <w:rFonts w:cs="Arial" w:ascii="Arial" w:hAnsi="Arial"/>
                <w:color w:val="auto"/>
                <w:sz w:val="16"/>
                <w:szCs w:val="16"/>
                <w:vertAlign w:val="superscript"/>
              </w:rPr>
              <w:t>3)</w:t>
            </w:r>
          </w:p>
        </w:tc>
        <w:tc>
          <w:tcPr>
            <w:tcW w:w="870" w:type="dxa"/>
            <w:tcBorders>
              <w:bottom w:val="single" w:sz="8" w:space="0" w:color="000000"/>
              <w:right w:val="single" w:sz="8" w:space="0" w:color="000000"/>
            </w:tcBorders>
            <w:vAlign w:val="center"/>
          </w:tcPr>
          <w:p>
            <w:pPr>
              <w:pStyle w:val="Normal"/>
              <w:spacing w:before="0" w:after="200"/>
              <w:jc w:val="center"/>
              <w:rPr>
                <w:color w:val="auto"/>
                <w:sz w:val="16"/>
                <w:szCs w:val="16"/>
              </w:rPr>
            </w:pPr>
            <w:r>
              <w:rPr>
                <w:color w:val="auto"/>
                <w:sz w:val="16"/>
                <w:szCs w:val="16"/>
              </w:rPr>
            </w:r>
          </w:p>
        </w:tc>
        <w:tc>
          <w:tcPr>
            <w:tcW w:w="1256" w:type="dxa"/>
            <w:tcBorders>
              <w:bottom w:val="single" w:sz="8" w:space="0" w:color="000000"/>
              <w:right w:val="single" w:sz="8" w:space="0" w:color="000000"/>
            </w:tcBorders>
            <w:tcMar>
              <w:left w:w="108" w:type="dxa"/>
              <w:right w:w="108" w:type="dxa"/>
            </w:tcMar>
          </w:tcPr>
          <w:p>
            <w:pPr>
              <w:pStyle w:val="Normal"/>
              <w:spacing w:before="0" w:after="200"/>
              <w:jc w:val="center"/>
              <w:rPr>
                <w:color w:val="auto"/>
                <w:sz w:val="16"/>
                <w:szCs w:val="16"/>
              </w:rPr>
            </w:pPr>
            <w:r>
              <w:rPr>
                <w:color w:val="auto"/>
                <w:sz w:val="16"/>
                <w:szCs w:val="16"/>
              </w:rPr>
            </w:r>
          </w:p>
        </w:tc>
        <w:tc>
          <w:tcPr>
            <w:tcW w:w="1138" w:type="dxa"/>
            <w:tcBorders>
              <w:bottom w:val="single" w:sz="8" w:space="0" w:color="000000"/>
              <w:right w:val="single" w:sz="8" w:space="0" w:color="000000"/>
            </w:tcBorders>
            <w:vAlign w:val="center"/>
          </w:tcPr>
          <w:p>
            <w:pPr>
              <w:pStyle w:val="Normal"/>
              <w:spacing w:before="0" w:after="200"/>
              <w:jc w:val="center"/>
              <w:rPr>
                <w:color w:val="auto"/>
                <w:sz w:val="16"/>
                <w:szCs w:val="16"/>
              </w:rPr>
            </w:pPr>
            <w:r>
              <w:rPr>
                <w:color w:val="auto"/>
                <w:sz w:val="16"/>
                <w:szCs w:val="16"/>
              </w:rPr>
            </w:r>
          </w:p>
        </w:tc>
      </w:tr>
      <w:tr>
        <w:trPr/>
        <w:tc>
          <w:tcPr>
            <w:tcW w:w="2538" w:type="dxa"/>
            <w:tcBorders>
              <w:left w:val="single" w:sz="8" w:space="0" w:color="000000"/>
              <w:bottom w:val="single" w:sz="8" w:space="0" w:color="000000"/>
              <w:right w:val="single" w:sz="8" w:space="0" w:color="000000"/>
            </w:tcBorders>
            <w:vAlign w:val="center"/>
          </w:tcPr>
          <w:p>
            <w:pPr>
              <w:pStyle w:val="Normal"/>
              <w:spacing w:before="0" w:after="200"/>
              <w:ind w:left="170"/>
              <w:rPr>
                <w:color w:val="auto"/>
              </w:rPr>
            </w:pPr>
            <w:r>
              <w:rPr>
                <w:rFonts w:cs="Arial" w:ascii="Arial" w:hAnsi="Arial"/>
                <w:color w:val="auto"/>
                <w:sz w:val="16"/>
                <w:szCs w:val="16"/>
              </w:rPr>
              <w:t>1.12. Sutankinimo rodiklis</w:t>
            </w:r>
          </w:p>
        </w:tc>
        <w:tc>
          <w:tcPr>
            <w:tcW w:w="1336"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1 ėminys arba 1 matavimas kiekvieniems 4500 m</w:t>
            </w:r>
            <w:r>
              <w:rPr>
                <w:rFonts w:cs="Arial" w:ascii="Arial" w:hAnsi="Arial"/>
                <w:color w:val="auto"/>
                <w:sz w:val="16"/>
                <w:szCs w:val="16"/>
                <w:vertAlign w:val="superscript"/>
              </w:rPr>
              <w:t>2</w:t>
            </w:r>
          </w:p>
        </w:tc>
        <w:tc>
          <w:tcPr>
            <w:tcW w:w="705"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656"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705"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709"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870" w:type="dxa"/>
            <w:tcBorders>
              <w:bottom w:val="single" w:sz="8" w:space="0" w:color="000000"/>
              <w:right w:val="single" w:sz="8" w:space="0" w:color="000000"/>
            </w:tcBorders>
            <w:vAlign w:val="center"/>
          </w:tcPr>
          <w:p>
            <w:pPr>
              <w:pStyle w:val="Normal"/>
              <w:spacing w:before="0" w:after="200"/>
              <w:jc w:val="center"/>
              <w:rPr>
                <w:color w:val="auto"/>
                <w:sz w:val="16"/>
                <w:szCs w:val="16"/>
              </w:rPr>
            </w:pPr>
            <w:r>
              <w:rPr>
                <w:color w:val="auto"/>
                <w:sz w:val="16"/>
                <w:szCs w:val="16"/>
              </w:rPr>
            </w:r>
          </w:p>
        </w:tc>
        <w:tc>
          <w:tcPr>
            <w:tcW w:w="1256" w:type="dxa"/>
            <w:tcBorders>
              <w:bottom w:val="single" w:sz="8" w:space="0" w:color="000000"/>
              <w:right w:val="single" w:sz="8" w:space="0" w:color="000000"/>
            </w:tcBorders>
            <w:tcMar>
              <w:left w:w="108" w:type="dxa"/>
              <w:right w:w="108" w:type="dxa"/>
            </w:tcMar>
          </w:tcPr>
          <w:p>
            <w:pPr>
              <w:pStyle w:val="Normal"/>
              <w:spacing w:before="0" w:after="200"/>
              <w:jc w:val="center"/>
              <w:rPr>
                <w:color w:val="auto"/>
                <w:sz w:val="16"/>
                <w:szCs w:val="16"/>
              </w:rPr>
            </w:pPr>
            <w:r>
              <w:rPr>
                <w:color w:val="auto"/>
                <w:sz w:val="16"/>
                <w:szCs w:val="16"/>
              </w:rPr>
            </w:r>
          </w:p>
        </w:tc>
        <w:tc>
          <w:tcPr>
            <w:tcW w:w="1138" w:type="dxa"/>
            <w:tcBorders>
              <w:bottom w:val="single" w:sz="8" w:space="0" w:color="000000"/>
              <w:right w:val="single" w:sz="8" w:space="0" w:color="000000"/>
            </w:tcBorders>
            <w:vAlign w:val="center"/>
          </w:tcPr>
          <w:p>
            <w:pPr>
              <w:pStyle w:val="Normal"/>
              <w:spacing w:before="0" w:after="200"/>
              <w:jc w:val="center"/>
              <w:rPr>
                <w:color w:val="auto"/>
                <w:sz w:val="16"/>
                <w:szCs w:val="16"/>
              </w:rPr>
            </w:pPr>
            <w:r>
              <w:rPr>
                <w:color w:val="auto"/>
                <w:sz w:val="16"/>
                <w:szCs w:val="16"/>
              </w:rPr>
            </w:r>
          </w:p>
        </w:tc>
      </w:tr>
      <w:tr>
        <w:trPr/>
        <w:tc>
          <w:tcPr>
            <w:tcW w:w="2538" w:type="dxa"/>
            <w:tcBorders>
              <w:left w:val="single" w:sz="8" w:space="0" w:color="000000"/>
              <w:bottom w:val="single" w:sz="8" w:space="0" w:color="000000"/>
              <w:right w:val="single" w:sz="8" w:space="0" w:color="000000"/>
            </w:tcBorders>
            <w:vAlign w:val="center"/>
          </w:tcPr>
          <w:p>
            <w:pPr>
              <w:pStyle w:val="Normal"/>
              <w:spacing w:before="0" w:after="200"/>
              <w:ind w:left="170"/>
              <w:rPr>
                <w:color w:val="auto"/>
              </w:rPr>
            </w:pPr>
            <w:r>
              <w:rPr>
                <w:rFonts w:cs="Arial" w:ascii="Arial" w:hAnsi="Arial"/>
                <w:color w:val="auto"/>
                <w:sz w:val="16"/>
                <w:szCs w:val="16"/>
              </w:rPr>
              <w:t>1.13. Deformacijos modulis</w:t>
            </w:r>
          </w:p>
        </w:tc>
        <w:tc>
          <w:tcPr>
            <w:tcW w:w="1336"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1 matavimas kiekvieniems 4500 m</w:t>
            </w:r>
            <w:r>
              <w:rPr>
                <w:rFonts w:cs="Arial" w:ascii="Arial" w:hAnsi="Arial"/>
                <w:color w:val="auto"/>
                <w:sz w:val="16"/>
                <w:szCs w:val="16"/>
                <w:vertAlign w:val="superscript"/>
              </w:rPr>
              <w:t>2</w:t>
            </w:r>
          </w:p>
        </w:tc>
        <w:tc>
          <w:tcPr>
            <w:tcW w:w="705"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656" w:type="dxa"/>
            <w:tcBorders>
              <w:bottom w:val="single" w:sz="8" w:space="0" w:color="000000"/>
              <w:right w:val="single" w:sz="8" w:space="0" w:color="000000"/>
            </w:tcBorders>
            <w:vAlign w:val="center"/>
          </w:tcPr>
          <w:p>
            <w:pPr>
              <w:pStyle w:val="Normal"/>
              <w:spacing w:before="0" w:after="200"/>
              <w:jc w:val="center"/>
              <w:rPr>
                <w:color w:val="auto"/>
                <w:sz w:val="16"/>
                <w:szCs w:val="16"/>
              </w:rPr>
            </w:pPr>
            <w:r>
              <w:rPr>
                <w:color w:val="auto"/>
                <w:sz w:val="16"/>
                <w:szCs w:val="16"/>
              </w:rPr>
            </w:r>
          </w:p>
        </w:tc>
        <w:tc>
          <w:tcPr>
            <w:tcW w:w="705"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709" w:type="dxa"/>
            <w:tcBorders>
              <w:bottom w:val="single" w:sz="8" w:space="0" w:color="000000"/>
              <w:right w:val="single" w:sz="8" w:space="0" w:color="000000"/>
            </w:tcBorders>
            <w:vAlign w:val="center"/>
          </w:tcPr>
          <w:p>
            <w:pPr>
              <w:pStyle w:val="Normal"/>
              <w:spacing w:before="0" w:after="200"/>
              <w:jc w:val="center"/>
              <w:rPr>
                <w:color w:val="auto"/>
              </w:rPr>
            </w:pPr>
            <w:r>
              <w:rPr>
                <w:rFonts w:cs="Arial" w:ascii="Arial" w:hAnsi="Arial"/>
                <w:color w:val="auto"/>
                <w:sz w:val="16"/>
                <w:szCs w:val="16"/>
              </w:rPr>
              <w:t>×</w:t>
            </w:r>
          </w:p>
        </w:tc>
        <w:tc>
          <w:tcPr>
            <w:tcW w:w="870" w:type="dxa"/>
            <w:tcBorders>
              <w:bottom w:val="single" w:sz="8" w:space="0" w:color="000000"/>
              <w:right w:val="single" w:sz="8" w:space="0" w:color="000000"/>
            </w:tcBorders>
            <w:vAlign w:val="center"/>
          </w:tcPr>
          <w:p>
            <w:pPr>
              <w:pStyle w:val="Normal"/>
              <w:spacing w:before="0" w:after="200"/>
              <w:jc w:val="center"/>
              <w:rPr>
                <w:color w:val="auto"/>
                <w:sz w:val="16"/>
                <w:szCs w:val="16"/>
              </w:rPr>
            </w:pPr>
            <w:r>
              <w:rPr>
                <w:color w:val="auto"/>
                <w:sz w:val="16"/>
                <w:szCs w:val="16"/>
              </w:rPr>
            </w:r>
          </w:p>
        </w:tc>
        <w:tc>
          <w:tcPr>
            <w:tcW w:w="1256" w:type="dxa"/>
            <w:tcBorders>
              <w:bottom w:val="single" w:sz="8" w:space="0" w:color="000000"/>
              <w:right w:val="single" w:sz="8" w:space="0" w:color="000000"/>
            </w:tcBorders>
            <w:tcMar>
              <w:left w:w="108" w:type="dxa"/>
              <w:right w:w="108" w:type="dxa"/>
            </w:tcMar>
            <w:vAlign w:val="center"/>
          </w:tcPr>
          <w:p>
            <w:pPr>
              <w:pStyle w:val="Normal"/>
              <w:spacing w:before="0" w:after="200"/>
              <w:jc w:val="center"/>
              <w:rPr>
                <w:color w:val="auto"/>
                <w:sz w:val="16"/>
                <w:szCs w:val="16"/>
              </w:rPr>
            </w:pPr>
            <w:r>
              <w:rPr>
                <w:color w:val="auto"/>
                <w:sz w:val="16"/>
                <w:szCs w:val="16"/>
              </w:rPr>
            </w:r>
          </w:p>
        </w:tc>
        <w:tc>
          <w:tcPr>
            <w:tcW w:w="1138" w:type="dxa"/>
            <w:tcBorders>
              <w:bottom w:val="single" w:sz="8" w:space="0" w:color="000000"/>
              <w:right w:val="single" w:sz="8" w:space="0" w:color="000000"/>
            </w:tcBorders>
            <w:vAlign w:val="center"/>
          </w:tcPr>
          <w:p>
            <w:pPr>
              <w:pStyle w:val="Normal"/>
              <w:spacing w:before="0" w:after="200"/>
              <w:jc w:val="center"/>
              <w:rPr>
                <w:color w:val="auto"/>
                <w:sz w:val="16"/>
                <w:szCs w:val="16"/>
              </w:rPr>
            </w:pPr>
            <w:r>
              <w:rPr>
                <w:color w:val="auto"/>
                <w:sz w:val="16"/>
                <w:szCs w:val="16"/>
              </w:rPr>
            </w:r>
          </w:p>
        </w:tc>
      </w:tr>
      <w:tr>
        <w:trPr/>
        <w:tc>
          <w:tcPr>
            <w:tcW w:w="9913" w:type="dxa"/>
            <w:gridSpan w:val="9"/>
            <w:tcBorders>
              <w:left w:val="single" w:sz="8" w:space="0" w:color="000000"/>
              <w:bottom w:val="single" w:sz="8" w:space="0" w:color="000000"/>
              <w:right w:val="single" w:sz="8" w:space="0" w:color="000000"/>
            </w:tcBorders>
            <w:tcMar>
              <w:left w:w="108" w:type="dxa"/>
              <w:right w:w="108" w:type="dxa"/>
            </w:tcMar>
          </w:tcPr>
          <w:p>
            <w:pPr>
              <w:pStyle w:val="Normal"/>
              <w:jc w:val="both"/>
              <w:rPr>
                <w:color w:val="auto"/>
              </w:rPr>
            </w:pPr>
            <w:r>
              <w:rPr>
                <w:rFonts w:cs="Arial" w:ascii="Arial" w:hAnsi="Arial"/>
                <w:color w:val="000000"/>
                <w:sz w:val="16"/>
                <w:szCs w:val="16"/>
                <w:shd w:fill="auto" w:val="clear"/>
                <w:vertAlign w:val="superscript"/>
              </w:rPr>
              <w:t>1) </w:t>
            </w:r>
            <w:r>
              <w:rPr>
                <w:rFonts w:cs="Arial" w:ascii="Arial" w:hAnsi="Arial"/>
                <w:color w:val="000000"/>
                <w:sz w:val="16"/>
                <w:szCs w:val="16"/>
                <w:shd w:fill="auto" w:val="clear"/>
              </w:rPr>
              <w:t>Kai kelio ruožo, kuriame vykdomi darbai, ilgis arba plotas yra mažesnis kaip nurodytas mažiausias kontrolinis plotas ėminiui paimti ar matavimui atlikti, tai matavimai atliekami ir ėminiai imami nurodyta mažiausia apimtimi.</w:t>
            </w:r>
          </w:p>
          <w:p>
            <w:pPr>
              <w:pStyle w:val="Normal"/>
              <w:jc w:val="both"/>
              <w:rPr>
                <w:color w:val="auto"/>
              </w:rPr>
            </w:pPr>
            <w:r>
              <w:rPr>
                <w:rFonts w:cs="Arial" w:ascii="Arial" w:hAnsi="Arial"/>
                <w:color w:val="000000"/>
                <w:sz w:val="16"/>
                <w:szCs w:val="16"/>
                <w:shd w:fill="auto" w:val="clear"/>
              </w:rPr>
              <w:t>Pavyzdys Nr.1: kelio ruožo ilgis − 200 m, SPS plotis − 4 m, plotas − 800m</w:t>
            </w:r>
            <w:r>
              <w:rPr>
                <w:rFonts w:cs="Arial" w:ascii="Arial" w:hAnsi="Arial"/>
                <w:color w:val="000000"/>
                <w:sz w:val="16"/>
                <w:szCs w:val="16"/>
                <w:shd w:fill="auto" w:val="clear"/>
                <w:vertAlign w:val="superscript"/>
              </w:rPr>
              <w:t>2</w:t>
            </w:r>
            <w:r>
              <w:rPr>
                <w:rFonts w:cs="Arial" w:ascii="Arial" w:hAnsi="Arial"/>
                <w:color w:val="000000"/>
                <w:sz w:val="16"/>
                <w:szCs w:val="16"/>
                <w:shd w:fill="auto" w:val="clear"/>
              </w:rPr>
              <w:t>. Reikalavimas granuliometrinės sudėties ir smulkiųjų dalelių kiekio tyrimui − ne mažiau kaip vienas ėminys kiekvieniems 6000 m</w:t>
            </w:r>
            <w:r>
              <w:rPr>
                <w:rFonts w:cs="Arial" w:ascii="Arial" w:hAnsi="Arial"/>
                <w:color w:val="000000"/>
                <w:sz w:val="16"/>
                <w:szCs w:val="16"/>
                <w:shd w:fill="auto" w:val="clear"/>
                <w:vertAlign w:val="superscript"/>
              </w:rPr>
              <w:t>2</w:t>
            </w:r>
            <w:r>
              <w:rPr>
                <w:rFonts w:cs="Arial" w:ascii="Arial" w:hAnsi="Arial"/>
                <w:color w:val="000000"/>
                <w:sz w:val="16"/>
                <w:szCs w:val="16"/>
                <w:shd w:fill="auto" w:val="clear"/>
              </w:rPr>
              <w:t>. Vadinasi turi būti paimtas bent vienas ėminys. Pavyzdys. Nr.2: kelio ruožo ilgis − 1200 m, SPS plotis − 8 m, plotas − 9600m</w:t>
            </w:r>
            <w:r>
              <w:rPr>
                <w:rFonts w:cs="Arial" w:ascii="Arial" w:hAnsi="Arial"/>
                <w:color w:val="000000"/>
                <w:sz w:val="16"/>
                <w:szCs w:val="16"/>
                <w:shd w:fill="auto" w:val="clear"/>
                <w:vertAlign w:val="superscript"/>
              </w:rPr>
              <w:t>2</w:t>
            </w:r>
            <w:r>
              <w:rPr>
                <w:rFonts w:cs="Arial" w:ascii="Arial" w:hAnsi="Arial"/>
                <w:color w:val="000000"/>
                <w:sz w:val="16"/>
                <w:szCs w:val="16"/>
                <w:shd w:fill="auto" w:val="clear"/>
              </w:rPr>
              <w:t>. Reikalavimas granuliometrinės sudėties ir smulkiųjų dalelių kiekio tyrimui - ne mažiau kaip vienas ėminys kiekvieniems 6000 m</w:t>
            </w:r>
            <w:r>
              <w:rPr>
                <w:rFonts w:cs="Arial" w:ascii="Arial" w:hAnsi="Arial"/>
                <w:color w:val="000000"/>
                <w:sz w:val="16"/>
                <w:szCs w:val="16"/>
                <w:shd w:fill="auto" w:val="clear"/>
                <w:vertAlign w:val="superscript"/>
              </w:rPr>
              <w:t>2</w:t>
            </w:r>
            <w:r>
              <w:rPr>
                <w:rFonts w:cs="Arial" w:ascii="Arial" w:hAnsi="Arial"/>
                <w:color w:val="000000"/>
                <w:sz w:val="16"/>
                <w:szCs w:val="16"/>
                <w:shd w:fill="auto" w:val="clear"/>
              </w:rPr>
              <w:t>. Vadinasi turi būti paimti bent du ėminiai.</w:t>
            </w:r>
          </w:p>
          <w:p>
            <w:pPr>
              <w:pStyle w:val="Normal"/>
              <w:jc w:val="both"/>
              <w:rPr>
                <w:color w:val="auto"/>
              </w:rPr>
            </w:pPr>
            <w:r>
              <w:rPr>
                <w:rFonts w:cs="Arial" w:ascii="Arial" w:hAnsi="Arial"/>
                <w:color w:val="000000"/>
                <w:sz w:val="16"/>
                <w:szCs w:val="16"/>
                <w:shd w:fill="auto" w:val="clear"/>
              </w:rPr>
              <w:t>Visais atvejais negali būti priduodamas nei vienas nepatikrintas plotas, t. y. priduodant mažais plotais, jie visais atvejais turi būti patikrinti vidinės kontrolės ir kontroliniais bandymais.</w:t>
            </w:r>
          </w:p>
          <w:p>
            <w:pPr>
              <w:pStyle w:val="Normal"/>
              <w:jc w:val="both"/>
              <w:rPr>
                <w:color w:val="auto"/>
              </w:rPr>
            </w:pPr>
            <w:r>
              <w:rPr>
                <w:rFonts w:cs="Arial" w:ascii="Arial" w:hAnsi="Arial"/>
                <w:color w:val="000000"/>
                <w:sz w:val="16"/>
                <w:szCs w:val="16"/>
                <w:shd w:fill="auto" w:val="clear"/>
                <w:vertAlign w:val="superscript"/>
              </w:rPr>
              <w:t>2) </w:t>
            </w:r>
            <w:r>
              <w:rPr>
                <w:rFonts w:cs="Arial" w:ascii="Arial" w:hAnsi="Arial"/>
                <w:color w:val="000000"/>
                <w:sz w:val="16"/>
                <w:szCs w:val="16"/>
                <w:shd w:fill="auto" w:val="clear"/>
              </w:rPr>
              <w:t>Platinant kelio pagrindo sluoksnius be rišiklių, nurodytas plotas, kuriam taikomas mažiausias ėminių ar matavimų skaičius, dalinamas iš dviejų. Tokiu atveju nurodyti ėminių ar matavimų kiekiai taikomi dvigubai mažesniam plotui.</w:t>
            </w:r>
          </w:p>
          <w:p>
            <w:pPr>
              <w:pStyle w:val="Normal"/>
              <w:rPr>
                <w:color w:val="auto"/>
              </w:rPr>
            </w:pPr>
            <w:r>
              <w:rPr>
                <w:rFonts w:cs="Arial" w:ascii="Arial" w:hAnsi="Arial"/>
                <w:color w:val="000000"/>
                <w:sz w:val="16"/>
                <w:szCs w:val="16"/>
                <w:shd w:fill="auto" w:val="clear"/>
              </w:rPr>
              <w:t>Pavyzdys: reikalavimas SPS granuliometrinės sudėties ir smulkiųjų dalelių kiekio tyrimui yra ne mažiau kaip vienas ėminys kiekvieniems 6000 m</w:t>
            </w:r>
            <w:r>
              <w:rPr>
                <w:rFonts w:cs="Arial" w:ascii="Arial" w:hAnsi="Arial"/>
                <w:color w:val="000000"/>
                <w:sz w:val="16"/>
                <w:szCs w:val="16"/>
                <w:shd w:fill="auto" w:val="clear"/>
                <w:vertAlign w:val="superscript"/>
              </w:rPr>
              <w:t>2</w:t>
            </w:r>
            <w:r>
              <w:rPr>
                <w:rFonts w:cs="Arial" w:ascii="Arial" w:hAnsi="Arial"/>
                <w:color w:val="000000"/>
                <w:sz w:val="16"/>
                <w:szCs w:val="16"/>
                <w:shd w:fill="auto" w:val="clear"/>
              </w:rPr>
              <w:t>. Pagrindo sluoksnių be rišiklių platinimo atveju, šis reikalavimas bus taikomas dvigubai mažesniam plotui, t. y. ne mažiau kaip vienas ėminys kiekvieniems 3000 m</w:t>
            </w:r>
            <w:r>
              <w:rPr>
                <w:rFonts w:cs="Arial" w:ascii="Arial" w:hAnsi="Arial"/>
                <w:color w:val="000000"/>
                <w:sz w:val="16"/>
                <w:szCs w:val="16"/>
                <w:shd w:fill="auto" w:val="clear"/>
                <w:vertAlign w:val="superscript"/>
              </w:rPr>
              <w:t>2</w:t>
            </w:r>
            <w:r>
              <w:rPr>
                <w:rFonts w:cs="Arial" w:ascii="Arial" w:hAnsi="Arial"/>
                <w:color w:val="000000"/>
                <w:sz w:val="16"/>
                <w:szCs w:val="16"/>
                <w:shd w:fill="auto" w:val="clear"/>
              </w:rPr>
              <w:t>.</w:t>
            </w:r>
          </w:p>
          <w:p>
            <w:pPr>
              <w:pStyle w:val="Normal"/>
              <w:spacing w:before="0" w:after="200"/>
              <w:rPr>
                <w:color w:val="auto"/>
              </w:rPr>
            </w:pPr>
            <w:r>
              <w:rPr>
                <w:rFonts w:cs="Arial" w:ascii="Arial" w:hAnsi="Arial"/>
                <w:color w:val="000000"/>
                <w:sz w:val="16"/>
                <w:szCs w:val="16"/>
                <w:shd w:fill="auto" w:val="clear"/>
                <w:vertAlign w:val="superscript"/>
              </w:rPr>
              <w:t>3) </w:t>
            </w:r>
            <w:r>
              <w:rPr>
                <w:rFonts w:cs="Arial" w:ascii="Arial" w:hAnsi="Arial"/>
                <w:color w:val="000000"/>
                <w:sz w:val="16"/>
                <w:szCs w:val="16"/>
                <w:shd w:fill="auto" w:val="clear"/>
              </w:rPr>
              <w:t>Taikoma SPS po betono danga atveju.</w:t>
            </w:r>
          </w:p>
        </w:tc>
      </w:tr>
    </w:tbl>
    <w:p>
      <w:pPr>
        <w:pStyle w:val="Normal"/>
        <w:ind w:firstLine="709"/>
        <w:jc w:val="both"/>
        <w:rPr>
          <w:rFonts w:ascii="Arial" w:hAnsi="Arial"/>
          <w:i/>
          <w:i/>
          <w:iCs/>
          <w:color w:val="auto"/>
          <w:sz w:val="20"/>
          <w:highlight w:val="none"/>
          <w:u w:val="single"/>
          <w:shd w:fill="auto" w:val="clear"/>
        </w:rPr>
      </w:pPr>
      <w:r>
        <w:rPr>
          <w:rFonts w:ascii="Arial" w:hAnsi="Arial"/>
          <w:i/>
          <w:iCs/>
          <w:color w:val="auto"/>
          <w:sz w:val="20"/>
          <w:u w:val="single"/>
          <w:shd w:fill="auto" w:val="clear"/>
        </w:rPr>
      </w:r>
    </w:p>
    <w:p>
      <w:pPr>
        <w:pStyle w:val="Normal"/>
        <w:ind w:firstLine="709"/>
        <w:jc w:val="both"/>
        <w:rPr>
          <w:color w:val="auto"/>
        </w:rPr>
      </w:pPr>
      <w:r>
        <w:rPr>
          <w:rFonts w:ascii="Arial" w:hAnsi="Arial"/>
          <w:color w:val="000000"/>
          <w:sz w:val="20"/>
          <w:shd w:fill="auto" w:val="clear"/>
        </w:rPr>
        <w:t>Užbaigtus darbus užsakovas arba techninis prižiūrėtojas turi priimti ne vėliau kaip per 15 darbo dienų po raštiško pranešimo apie juos.</w:t>
      </w:r>
    </w:p>
    <w:p>
      <w:pPr>
        <w:pStyle w:val="Normal"/>
        <w:ind w:firstLine="709"/>
        <w:jc w:val="both"/>
        <w:rPr>
          <w:color w:val="auto"/>
        </w:rPr>
      </w:pPr>
      <w:bookmarkStart w:id="99" w:name="part_d640c060129349d49907b6069def48d4"/>
      <w:bookmarkEnd w:id="99"/>
      <w:r>
        <w:rPr>
          <w:rFonts w:ascii="Arial" w:hAnsi="Arial"/>
          <w:color w:val="000000"/>
          <w:sz w:val="20"/>
          <w:shd w:fill="auto" w:val="clear"/>
        </w:rPr>
        <w:t> </w:t>
      </w:r>
      <w:r>
        <w:rPr>
          <w:rFonts w:ascii="Arial" w:hAnsi="Arial"/>
          <w:color w:val="000000"/>
          <w:sz w:val="20"/>
          <w:shd w:fill="auto" w:val="clear"/>
        </w:rPr>
        <w:t>Darbų priėmimo terminas pratęsiamas, jeigu iš savo pusės rangovas dar nepateikė darbams įvertinti reikalingų rezultatų pagal sutartyje numatytus užpildų, nesurištųjų mišinių, gruntų bandymus arba paslėptų darbų aktų.</w:t>
      </w:r>
      <w:bookmarkStart w:id="100" w:name="part_32089eb4cc024d15b4fb50f95f2a0138"/>
      <w:bookmarkEnd w:id="100"/>
    </w:p>
    <w:p>
      <w:pPr>
        <w:pStyle w:val="Normal"/>
        <w:ind w:firstLine="709"/>
        <w:jc w:val="both"/>
        <w:rPr>
          <w:color w:val="auto"/>
        </w:rPr>
      </w:pPr>
      <w:r>
        <w:rPr>
          <w:rFonts w:ascii="Arial" w:hAnsi="Arial"/>
          <w:color w:val="000000"/>
          <w:sz w:val="20"/>
          <w:shd w:fill="auto" w:val="clear"/>
        </w:rPr>
        <w:t>Jeigu iš savo pusės užsakovas galutiniam užbaigtų darbų įvertinimui nustatytu laiku dar nepateikė reikalingų bandymų rezultatų, tai jis naudojasi sutarties sąlygomis.</w:t>
      </w:r>
    </w:p>
    <w:p>
      <w:pPr>
        <w:pStyle w:val="Normal"/>
        <w:ind w:firstLine="709"/>
        <w:jc w:val="both"/>
        <w:rPr>
          <w:color w:val="auto"/>
        </w:rPr>
      </w:pPr>
      <w:bookmarkStart w:id="101" w:name="part_5240cd5d469249aa9bad7b35afefe891"/>
      <w:bookmarkEnd w:id="101"/>
      <w:r>
        <w:rPr>
          <w:rFonts w:ascii="Arial" w:hAnsi="Arial"/>
          <w:color w:val="000000"/>
          <w:sz w:val="20"/>
          <w:shd w:fill="auto" w:val="clear"/>
        </w:rPr>
        <w:t>Tokia pati tvarka galioja priimant užbaigtas darbų dalis.</w:t>
      </w:r>
    </w:p>
    <w:p>
      <w:pPr>
        <w:pStyle w:val="Normal"/>
        <w:ind w:firstLine="709"/>
        <w:jc w:val="both"/>
        <w:rPr>
          <w:color w:val="auto"/>
        </w:rPr>
      </w:pPr>
      <w:r>
        <w:rPr>
          <w:rFonts w:ascii="Arial" w:hAnsi="Arial"/>
          <w:color w:val="000000"/>
          <w:sz w:val="20"/>
          <w:shd w:fill="auto" w:val="clear"/>
        </w:rPr>
        <w:t>Atliktų darbų kontrolė ir darbų priėmimas turi atitikti ĮT SBR 19 reikalavimus.</w:t>
      </w:r>
    </w:p>
    <w:p>
      <w:pPr>
        <w:pStyle w:val="Normal"/>
        <w:ind w:firstLine="709"/>
        <w:jc w:val="both"/>
        <w:rPr>
          <w:color w:val="auto"/>
        </w:rPr>
      </w:pPr>
      <w:r>
        <w:rPr>
          <w:rFonts w:ascii="Arial" w:hAnsi="Arial"/>
          <w:color w:val="000000"/>
          <w:sz w:val="20"/>
          <w:u w:val="single"/>
          <w:shd w:fill="auto" w:val="clear"/>
        </w:rPr>
        <w:t>Tolerancija</w:t>
      </w:r>
    </w:p>
    <w:p>
      <w:pPr>
        <w:pStyle w:val="Normal"/>
        <w:ind w:firstLine="709"/>
        <w:jc w:val="both"/>
        <w:rPr>
          <w:color w:val="auto"/>
        </w:rPr>
      </w:pPr>
      <w:r>
        <w:rPr>
          <w:rFonts w:ascii="Arial" w:hAnsi="Arial"/>
          <w:color w:val="000000"/>
          <w:sz w:val="20"/>
          <w:shd w:fill="auto" w:val="clear"/>
        </w:rPr>
        <w:t>Nesurištų medžiagų sluoksnių bandymai atliekami vadovaujantis ĮT SBR 19 X skyriaus keliamais reikalavimais.</w:t>
      </w:r>
    </w:p>
    <w:p>
      <w:pPr>
        <w:pStyle w:val="Normal"/>
        <w:ind w:firstLine="709"/>
        <w:jc w:val="both"/>
        <w:rPr>
          <w:color w:val="auto"/>
        </w:rPr>
      </w:pPr>
      <w:r>
        <w:rPr>
          <w:rFonts w:ascii="Arial" w:hAnsi="Arial"/>
          <w:color w:val="000000"/>
          <w:sz w:val="20"/>
          <w:u w:val="single"/>
          <w:shd w:fill="auto" w:val="clear"/>
        </w:rPr>
        <w:t>Darbų priėmimas</w:t>
      </w:r>
    </w:p>
    <w:p>
      <w:pPr>
        <w:pStyle w:val="Normal"/>
        <w:ind w:firstLine="709"/>
        <w:jc w:val="both"/>
        <w:rPr>
          <w:color w:val="auto"/>
        </w:rPr>
      </w:pPr>
      <w:r>
        <w:rPr>
          <w:rFonts w:ascii="Arial" w:hAnsi="Arial"/>
          <w:color w:val="000000"/>
          <w:sz w:val="20"/>
          <w:shd w:fill="auto" w:val="clear"/>
        </w:rPr>
        <w:t>Užbaigtus darbus užsakovas arba techninis prižiūrėtojas turi priimti ne vėliau kaip per 15 darbo dienų po raštiško pranešimo apie juos.</w:t>
      </w:r>
    </w:p>
    <w:p>
      <w:pPr>
        <w:pStyle w:val="Normal"/>
        <w:ind w:firstLine="709"/>
        <w:jc w:val="both"/>
        <w:rPr>
          <w:color w:val="auto"/>
        </w:rPr>
      </w:pPr>
      <w:r>
        <w:rPr>
          <w:rFonts w:ascii="Arial" w:hAnsi="Arial"/>
          <w:color w:val="000000"/>
          <w:sz w:val="20"/>
          <w:shd w:fill="auto" w:val="clear"/>
        </w:rPr>
        <w:t>Darbų priėmimo terminas pratęsiamas, jeigu iš savo pusės rangovas dar nepateikė darbams įvertinti reikalingų rezultatų pagal sutartyje numatytus užpildų, nesurištųjų mišinių, gruntų bandymus arba paslėptų darbų aktų.</w:t>
      </w:r>
    </w:p>
    <w:p>
      <w:pPr>
        <w:pStyle w:val="Normal"/>
        <w:ind w:firstLine="709"/>
        <w:jc w:val="both"/>
        <w:rPr>
          <w:color w:val="auto"/>
        </w:rPr>
      </w:pPr>
      <w:r>
        <w:rPr>
          <w:rFonts w:ascii="Arial" w:hAnsi="Arial"/>
          <w:color w:val="000000"/>
          <w:sz w:val="20"/>
          <w:shd w:fill="auto" w:val="clear"/>
        </w:rPr>
        <w:t>Jeigu iš savo pusės užsakovas galutiniam užbaigtų darbų įvertinimui nustatytu laiku dar nepateikė reikalingų bandymų rezultatų, tai jis naudojasi sutarties sąlygomis.</w:t>
      </w:r>
    </w:p>
    <w:p>
      <w:pPr>
        <w:pStyle w:val="Normal"/>
        <w:ind w:firstLine="709"/>
        <w:jc w:val="both"/>
        <w:rPr>
          <w:color w:val="auto"/>
        </w:rPr>
      </w:pPr>
      <w:r>
        <w:rPr>
          <w:rFonts w:ascii="Arial" w:hAnsi="Arial"/>
          <w:color w:val="000000"/>
          <w:sz w:val="20"/>
          <w:shd w:fill="auto" w:val="clear"/>
        </w:rPr>
        <w:t>Tokia pati tvarka galioja priimant užbaigtas darbų dalis.</w:t>
      </w:r>
    </w:p>
    <w:p>
      <w:pPr>
        <w:pStyle w:val="Normal"/>
        <w:ind w:firstLine="709"/>
        <w:jc w:val="both"/>
        <w:rPr>
          <w:color w:val="auto"/>
        </w:rPr>
      </w:pPr>
      <w:r>
        <w:rPr>
          <w:rFonts w:ascii="Arial" w:hAnsi="Arial"/>
          <w:color w:val="000000"/>
          <w:sz w:val="20"/>
          <w:shd w:fill="auto" w:val="clear"/>
        </w:rPr>
        <w:t>Užsakovas turi teisę darbą, darbo dalį priimti naudoti anksčiau sutartyje numatyto termino, tačiau užsakovas apie tokį savo sprendimą turi pranešti rangovui. Reikalingos priemonės turi būti suderinamos raštu.</w:t>
      </w:r>
    </w:p>
    <w:p>
      <w:pPr>
        <w:pStyle w:val="Normal"/>
        <w:ind w:firstLine="709"/>
        <w:jc w:val="both"/>
        <w:rPr>
          <w:color w:val="auto"/>
        </w:rPr>
      </w:pPr>
      <w:bookmarkStart w:id="102" w:name="part_80d6d4a5f69d4128aefb7b1fe1569975"/>
      <w:bookmarkEnd w:id="102"/>
      <w:r>
        <w:rPr>
          <w:rFonts w:ascii="Arial" w:hAnsi="Arial"/>
          <w:color w:val="000000"/>
          <w:sz w:val="20"/>
          <w:shd w:fill="auto" w:val="clear"/>
        </w:rPr>
        <w:t>Jeigu rangovas prašo priimti darbus anksčiau sutartyje numatyto termino, užsakovui dėl darbų priėmimo galioja šio skyriaus pirmajame skirsnyje nurodytas terminas.</w:t>
      </w:r>
    </w:p>
    <w:p>
      <w:pPr>
        <w:pStyle w:val="Normal"/>
        <w:ind w:firstLine="709"/>
        <w:jc w:val="both"/>
        <w:rPr>
          <w:color w:val="auto"/>
        </w:rPr>
      </w:pPr>
      <w:bookmarkStart w:id="103" w:name="part_53c21b32f2654272ae704a42cce802b6"/>
      <w:bookmarkEnd w:id="103"/>
      <w:r>
        <w:rPr>
          <w:rFonts w:ascii="Arial" w:hAnsi="Arial"/>
          <w:color w:val="000000"/>
          <w:sz w:val="20"/>
          <w:shd w:fill="auto" w:val="clear"/>
        </w:rPr>
        <w:t>Jeigu tam tikros darbų dalys naudojamos tolesniems sluoksnių įrengimo darbams, tai jų priimti kaip užbaigtų darbų negalima.</w:t>
      </w:r>
    </w:p>
    <w:p>
      <w:pPr>
        <w:pStyle w:val="Normal"/>
        <w:ind w:firstLine="709"/>
        <w:jc w:val="both"/>
        <w:rPr>
          <w:color w:val="auto"/>
        </w:rPr>
      </w:pPr>
      <w:r>
        <w:rPr>
          <w:rFonts w:ascii="Arial" w:hAnsi="Arial"/>
          <w:color w:val="000000"/>
          <w:sz w:val="20"/>
          <w:shd w:fill="auto" w:val="clear"/>
        </w:rPr>
        <w:t>Darbų priimami vadovaujantis ĮT SBR 19 XIII skyriaus nustatyta tvarka.</w:t>
      </w:r>
    </w:p>
    <w:p>
      <w:pPr>
        <w:pStyle w:val="Normal"/>
        <w:ind w:firstLine="709"/>
        <w:jc w:val="both"/>
        <w:rPr>
          <w:color w:val="auto"/>
        </w:rPr>
      </w:pPr>
      <w:r>
        <w:rPr>
          <w:rFonts w:ascii="Arial" w:hAnsi="Arial"/>
          <w:i/>
          <w:iCs/>
          <w:color w:val="000000"/>
          <w:sz w:val="20"/>
          <w:u w:val="single"/>
          <w:shd w:fill="auto" w:val="clear"/>
        </w:rPr>
        <w:t>Standartai</w:t>
      </w:r>
    </w:p>
    <w:tbl>
      <w:tblPr>
        <w:tblW w:w="9331" w:type="dxa"/>
        <w:jc w:val="left"/>
        <w:tblInd w:w="123" w:type="dxa"/>
        <w:tblLayout w:type="fixed"/>
        <w:tblCellMar>
          <w:top w:w="0" w:type="dxa"/>
          <w:left w:w="108" w:type="dxa"/>
          <w:bottom w:w="0" w:type="dxa"/>
          <w:right w:w="108" w:type="dxa"/>
        </w:tblCellMar>
        <w:tblLook w:firstRow="1" w:noVBand="1" w:lastRow="0" w:firstColumn="1" w:lastColumn="0" w:noHBand="0" w:val="04a0"/>
      </w:tblPr>
      <w:tblGrid>
        <w:gridCol w:w="2665"/>
        <w:gridCol w:w="6666"/>
      </w:tblGrid>
      <w:tr>
        <w:trPr/>
        <w:tc>
          <w:tcPr>
            <w:tcW w:w="2665" w:type="dxa"/>
            <w:tcBorders>
              <w:top w:val="single" w:sz="12" w:space="0" w:color="000000"/>
              <w:left w:val="single" w:sz="12" w:space="0" w:color="000000"/>
              <w:bottom w:val="single" w:sz="4" w:space="0" w:color="000000"/>
              <w:right w:val="single" w:sz="4" w:space="0" w:color="000000"/>
            </w:tcBorders>
          </w:tcPr>
          <w:p>
            <w:pPr>
              <w:pStyle w:val="Normal"/>
              <w:spacing w:lineRule="auto" w:line="276" w:before="0" w:after="200"/>
              <w:jc w:val="both"/>
              <w:rPr>
                <w:color w:val="auto"/>
              </w:rPr>
            </w:pPr>
            <w:r>
              <w:rPr>
                <w:rFonts w:ascii="Arial" w:hAnsi="Arial"/>
                <w:color w:val="auto"/>
                <w:sz w:val="16"/>
                <w:szCs w:val="16"/>
              </w:rPr>
              <w:t>LST 1361.7:1995</w:t>
            </w:r>
          </w:p>
        </w:tc>
        <w:tc>
          <w:tcPr>
            <w:tcW w:w="6666" w:type="dxa"/>
            <w:tcBorders>
              <w:top w:val="single" w:sz="12" w:space="0" w:color="000000"/>
              <w:left w:val="single" w:sz="4" w:space="0" w:color="000000"/>
              <w:bottom w:val="single" w:sz="4" w:space="0" w:color="000000"/>
              <w:right w:val="single" w:sz="12" w:space="0" w:color="000000"/>
            </w:tcBorders>
          </w:tcPr>
          <w:p>
            <w:pPr>
              <w:pStyle w:val="Normal"/>
              <w:spacing w:lineRule="auto" w:line="276" w:before="0" w:after="200"/>
              <w:jc w:val="both"/>
              <w:rPr>
                <w:color w:val="auto"/>
              </w:rPr>
            </w:pPr>
            <w:r>
              <w:rPr>
                <w:rFonts w:ascii="Arial" w:hAnsi="Arial"/>
                <w:color w:val="auto"/>
                <w:sz w:val="16"/>
                <w:szCs w:val="16"/>
              </w:rPr>
              <w:t>Mineralinės automobilių kelių medžiagos. Bandymo metodai. Tankio, vidutinio tankio, tankio koeficiento ir poringumo nustatymas.</w:t>
            </w:r>
          </w:p>
        </w:tc>
      </w:tr>
      <w:tr>
        <w:trPr/>
        <w:tc>
          <w:tcPr>
            <w:tcW w:w="2665" w:type="dxa"/>
            <w:tcBorders>
              <w:top w:val="single" w:sz="4" w:space="0" w:color="000000"/>
              <w:left w:val="single" w:sz="12" w:space="0" w:color="000000"/>
              <w:bottom w:val="single" w:sz="4" w:space="0" w:color="000000"/>
              <w:right w:val="single" w:sz="4" w:space="0" w:color="000000"/>
            </w:tcBorders>
          </w:tcPr>
          <w:p>
            <w:pPr>
              <w:pStyle w:val="Normal"/>
              <w:spacing w:lineRule="auto" w:line="276" w:before="0" w:after="200"/>
              <w:jc w:val="both"/>
              <w:rPr>
                <w:color w:val="auto"/>
              </w:rPr>
            </w:pPr>
            <w:r>
              <w:rPr>
                <w:rFonts w:ascii="Arial" w:hAnsi="Arial"/>
                <w:color w:val="auto"/>
                <w:sz w:val="16"/>
                <w:szCs w:val="16"/>
              </w:rPr>
              <w:t>LST 1361.10:1995</w:t>
            </w:r>
          </w:p>
        </w:tc>
        <w:tc>
          <w:tcPr>
            <w:tcW w:w="6666" w:type="dxa"/>
            <w:tcBorders>
              <w:top w:val="single" w:sz="4" w:space="0" w:color="000000"/>
              <w:left w:val="single" w:sz="4" w:space="0" w:color="000000"/>
              <w:bottom w:val="single" w:sz="4" w:space="0" w:color="000000"/>
              <w:right w:val="single" w:sz="12" w:space="0" w:color="000000"/>
            </w:tcBorders>
          </w:tcPr>
          <w:p>
            <w:pPr>
              <w:pStyle w:val="Normal"/>
              <w:spacing w:lineRule="auto" w:line="276" w:before="0" w:after="200"/>
              <w:jc w:val="both"/>
              <w:rPr>
                <w:color w:val="auto"/>
              </w:rPr>
            </w:pPr>
            <w:r>
              <w:rPr>
                <w:rFonts w:ascii="Arial" w:hAnsi="Arial"/>
                <w:color w:val="auto"/>
                <w:sz w:val="16"/>
                <w:szCs w:val="16"/>
              </w:rPr>
              <w:t>Mineralinės automobilių kelių medžiagos. Bandymo metodai. Skaldos atsparumo smūgiams nustatymas.</w:t>
            </w:r>
          </w:p>
        </w:tc>
      </w:tr>
      <w:tr>
        <w:trPr/>
        <w:tc>
          <w:tcPr>
            <w:tcW w:w="2665" w:type="dxa"/>
            <w:tcBorders>
              <w:top w:val="single" w:sz="4" w:space="0" w:color="000000"/>
              <w:left w:val="single" w:sz="12" w:space="0" w:color="000000"/>
              <w:bottom w:val="single" w:sz="4" w:space="0" w:color="000000"/>
              <w:right w:val="single" w:sz="4" w:space="0" w:color="000000"/>
            </w:tcBorders>
          </w:tcPr>
          <w:p>
            <w:pPr>
              <w:pStyle w:val="Normal"/>
              <w:spacing w:lineRule="auto" w:line="276" w:before="0" w:after="200"/>
              <w:jc w:val="both"/>
              <w:rPr>
                <w:color w:val="auto"/>
              </w:rPr>
            </w:pPr>
            <w:r>
              <w:rPr>
                <w:rFonts w:ascii="Arial" w:hAnsi="Arial"/>
                <w:color w:val="auto"/>
                <w:sz w:val="16"/>
                <w:szCs w:val="16"/>
              </w:rPr>
              <w:t>LST 1361.12:1996</w:t>
            </w:r>
          </w:p>
        </w:tc>
        <w:tc>
          <w:tcPr>
            <w:tcW w:w="6666" w:type="dxa"/>
            <w:tcBorders>
              <w:top w:val="single" w:sz="4" w:space="0" w:color="000000"/>
              <w:left w:val="single" w:sz="4" w:space="0" w:color="000000"/>
              <w:bottom w:val="single" w:sz="4" w:space="0" w:color="000000"/>
              <w:right w:val="single" w:sz="12" w:space="0" w:color="000000"/>
            </w:tcBorders>
          </w:tcPr>
          <w:p>
            <w:pPr>
              <w:pStyle w:val="Normal"/>
              <w:spacing w:lineRule="auto" w:line="276" w:before="0" w:after="200"/>
              <w:jc w:val="both"/>
              <w:rPr>
                <w:color w:val="auto"/>
              </w:rPr>
            </w:pPr>
            <w:r>
              <w:rPr>
                <w:rFonts w:ascii="Arial" w:hAnsi="Arial"/>
                <w:color w:val="auto"/>
                <w:sz w:val="16"/>
                <w:szCs w:val="16"/>
              </w:rPr>
              <w:t>Mineralinės automobilių kelių medžiagos. Bandymo metodai. Organinių priemaišų nustatymas.</w:t>
            </w:r>
          </w:p>
        </w:tc>
      </w:tr>
      <w:tr>
        <w:trPr/>
        <w:tc>
          <w:tcPr>
            <w:tcW w:w="2665" w:type="dxa"/>
            <w:tcBorders>
              <w:top w:val="single" w:sz="4" w:space="0" w:color="000000"/>
              <w:left w:val="single" w:sz="12" w:space="0" w:color="000000"/>
              <w:bottom w:val="single" w:sz="12" w:space="0" w:color="000000"/>
              <w:right w:val="single" w:sz="4" w:space="0" w:color="000000"/>
            </w:tcBorders>
          </w:tcPr>
          <w:p>
            <w:pPr>
              <w:pStyle w:val="Normal"/>
              <w:spacing w:lineRule="auto" w:line="276" w:before="0" w:after="200"/>
              <w:rPr>
                <w:color w:val="auto"/>
              </w:rPr>
            </w:pPr>
            <w:r>
              <w:rPr>
                <w:rFonts w:ascii="Arial" w:hAnsi="Arial"/>
                <w:color w:val="auto"/>
                <w:sz w:val="16"/>
                <w:szCs w:val="16"/>
              </w:rPr>
              <w:t>LST CEN ISO/TS 17892-11:2005</w:t>
            </w:r>
          </w:p>
        </w:tc>
        <w:tc>
          <w:tcPr>
            <w:tcW w:w="6666" w:type="dxa"/>
            <w:tcBorders>
              <w:top w:val="single" w:sz="4" w:space="0" w:color="000000"/>
              <w:left w:val="single" w:sz="4" w:space="0" w:color="000000"/>
              <w:bottom w:val="single" w:sz="12" w:space="0" w:color="000000"/>
              <w:right w:val="single" w:sz="12" w:space="0" w:color="000000"/>
            </w:tcBorders>
          </w:tcPr>
          <w:p>
            <w:pPr>
              <w:pStyle w:val="Normal"/>
              <w:spacing w:lineRule="auto" w:line="276" w:before="0" w:after="200"/>
              <w:jc w:val="both"/>
              <w:rPr>
                <w:color w:val="auto"/>
              </w:rPr>
            </w:pPr>
            <w:r>
              <w:rPr>
                <w:rFonts w:ascii="Arial" w:hAnsi="Arial"/>
                <w:color w:val="auto"/>
                <w:sz w:val="16"/>
                <w:szCs w:val="16"/>
              </w:rPr>
              <w:t>Geotechniniai tyrinėjimai ir bandymai. Laboratoriniai grunto bandymai. 11 dalis. Pralaidumo vandeniui nustatymas esant pastoviam ir kintančiam spūdžiui (ISO/TS 17892-11:2004)</w:t>
            </w:r>
          </w:p>
        </w:tc>
      </w:tr>
    </w:tbl>
    <w:p>
      <w:pPr>
        <w:pStyle w:val="Normal"/>
        <w:spacing w:lineRule="auto" w:line="276"/>
        <w:ind w:firstLine="709"/>
        <w:jc w:val="both"/>
        <w:rPr>
          <w:color w:val="auto"/>
        </w:rPr>
      </w:pPr>
      <w:r>
        <w:rPr>
          <w:rFonts w:ascii="Arial" w:hAnsi="Arial"/>
          <w:color w:val="auto"/>
          <w:sz w:val="20"/>
          <w:szCs w:val="20"/>
        </w:rPr>
        <w:t>Be šių standartų gali būti taikomi ir kiti juos atitinkantys lygiaverčiai standartai.</w:t>
      </w:r>
    </w:p>
    <w:p>
      <w:pPr>
        <w:pStyle w:val="Normal"/>
        <w:spacing w:lineRule="auto" w:line="276"/>
        <w:ind w:firstLine="709"/>
        <w:jc w:val="both"/>
        <w:rPr>
          <w:color w:val="auto"/>
        </w:rPr>
      </w:pPr>
      <w:r>
        <w:rPr>
          <w:rFonts w:ascii="Arial" w:hAnsi="Arial"/>
          <w:i/>
          <w:iCs/>
          <w:color w:val="auto"/>
          <w:sz w:val="20"/>
          <w:szCs w:val="20"/>
          <w:u w:val="single"/>
        </w:rPr>
        <w:t>Kiti normatyviniai statybos techniniai dokumentai</w:t>
      </w:r>
    </w:p>
    <w:tbl>
      <w:tblPr>
        <w:tblW w:w="9331" w:type="dxa"/>
        <w:jc w:val="left"/>
        <w:tblInd w:w="123" w:type="dxa"/>
        <w:tblLayout w:type="fixed"/>
        <w:tblCellMar>
          <w:top w:w="0" w:type="dxa"/>
          <w:left w:w="108" w:type="dxa"/>
          <w:bottom w:w="0" w:type="dxa"/>
          <w:right w:w="108" w:type="dxa"/>
        </w:tblCellMar>
        <w:tblLook w:firstRow="1" w:noVBand="1" w:lastRow="0" w:firstColumn="1" w:lastColumn="0" w:noHBand="0" w:val="04a0"/>
      </w:tblPr>
      <w:tblGrid>
        <w:gridCol w:w="2659"/>
        <w:gridCol w:w="6672"/>
      </w:tblGrid>
      <w:tr>
        <w:trPr/>
        <w:tc>
          <w:tcPr>
            <w:tcW w:w="2659" w:type="dxa"/>
            <w:tcBorders>
              <w:top w:val="single" w:sz="12" w:space="0" w:color="000000"/>
              <w:left w:val="single" w:sz="12" w:space="0" w:color="000000"/>
              <w:bottom w:val="single" w:sz="6" w:space="0" w:color="000000"/>
              <w:right w:val="single" w:sz="4" w:space="0" w:color="000000"/>
            </w:tcBorders>
            <w:vAlign w:val="center"/>
          </w:tcPr>
          <w:p>
            <w:pPr>
              <w:pStyle w:val="Normal"/>
              <w:spacing w:lineRule="auto" w:line="276" w:before="0" w:after="200"/>
              <w:jc w:val="both"/>
              <w:rPr>
                <w:color w:val="auto"/>
              </w:rPr>
            </w:pPr>
            <w:r>
              <w:rPr>
                <w:rFonts w:eastAsia="Calibri" w:ascii="Arial" w:hAnsi="Arial"/>
                <w:color w:val="auto"/>
                <w:sz w:val="16"/>
                <w:szCs w:val="16"/>
              </w:rPr>
              <w:t>STR 2.06.04:2014</w:t>
            </w:r>
          </w:p>
        </w:tc>
        <w:tc>
          <w:tcPr>
            <w:tcW w:w="6672" w:type="dxa"/>
            <w:tcBorders>
              <w:top w:val="single" w:sz="12" w:space="0" w:color="000000"/>
              <w:left w:val="single" w:sz="4" w:space="0" w:color="000000"/>
              <w:bottom w:val="single" w:sz="6" w:space="0" w:color="000000"/>
              <w:right w:val="single" w:sz="12" w:space="0" w:color="000000"/>
            </w:tcBorders>
            <w:vAlign w:val="center"/>
          </w:tcPr>
          <w:p>
            <w:pPr>
              <w:pStyle w:val="Normal"/>
              <w:spacing w:lineRule="auto" w:line="276" w:before="0" w:after="200"/>
              <w:jc w:val="both"/>
              <w:rPr>
                <w:color w:val="auto"/>
              </w:rPr>
            </w:pPr>
            <w:r>
              <w:rPr>
                <w:rFonts w:eastAsia="Calibri" w:ascii="Arial" w:hAnsi="Arial"/>
                <w:color w:val="auto"/>
                <w:sz w:val="16"/>
                <w:szCs w:val="16"/>
              </w:rPr>
              <w:t>Gatves ir vietines reikšmes keliai. Bendrieji reikalavimai</w:t>
            </w:r>
          </w:p>
        </w:tc>
      </w:tr>
      <w:tr>
        <w:trPr/>
        <w:tc>
          <w:tcPr>
            <w:tcW w:w="2659" w:type="dxa"/>
            <w:tcBorders>
              <w:top w:val="single" w:sz="6" w:space="0" w:color="000000"/>
              <w:left w:val="single" w:sz="12" w:space="0" w:color="000000"/>
              <w:bottom w:val="single" w:sz="4" w:space="0" w:color="000000"/>
              <w:right w:val="single" w:sz="4" w:space="0" w:color="000000"/>
            </w:tcBorders>
            <w:vAlign w:val="center"/>
          </w:tcPr>
          <w:p>
            <w:pPr>
              <w:pStyle w:val="Normal"/>
              <w:spacing w:lineRule="auto" w:line="276" w:before="0" w:after="200"/>
              <w:jc w:val="both"/>
              <w:rPr>
                <w:color w:val="auto"/>
              </w:rPr>
            </w:pPr>
            <w:r>
              <w:rPr>
                <w:rFonts w:ascii="Arial" w:hAnsi="Arial"/>
                <w:color w:val="auto"/>
                <w:sz w:val="16"/>
                <w:szCs w:val="16"/>
              </w:rPr>
              <w:t>KTR 1.01:2008</w:t>
            </w:r>
          </w:p>
        </w:tc>
        <w:tc>
          <w:tcPr>
            <w:tcW w:w="6672" w:type="dxa"/>
            <w:tcBorders>
              <w:top w:val="single" w:sz="6" w:space="0" w:color="000000"/>
              <w:left w:val="single" w:sz="4" w:space="0" w:color="000000"/>
              <w:bottom w:val="single" w:sz="4" w:space="0" w:color="000000"/>
              <w:right w:val="single" w:sz="12" w:space="0" w:color="000000"/>
            </w:tcBorders>
            <w:vAlign w:val="center"/>
          </w:tcPr>
          <w:p>
            <w:pPr>
              <w:pStyle w:val="Normal"/>
              <w:spacing w:lineRule="auto" w:line="276" w:before="0" w:after="200"/>
              <w:jc w:val="both"/>
              <w:rPr>
                <w:color w:val="auto"/>
              </w:rPr>
            </w:pPr>
            <w:r>
              <w:rPr>
                <w:rFonts w:ascii="Arial" w:hAnsi="Arial"/>
                <w:color w:val="auto"/>
                <w:sz w:val="16"/>
                <w:szCs w:val="16"/>
              </w:rPr>
              <w:t>Automobilių keliai</w:t>
            </w:r>
          </w:p>
        </w:tc>
      </w:tr>
      <w:tr>
        <w:trPr/>
        <w:tc>
          <w:tcPr>
            <w:tcW w:w="2659" w:type="dxa"/>
            <w:tcBorders>
              <w:top w:val="single" w:sz="4" w:space="0" w:color="000000"/>
              <w:left w:val="single" w:sz="12" w:space="0" w:color="000000"/>
              <w:bottom w:val="single" w:sz="4" w:space="0" w:color="000000"/>
              <w:right w:val="single" w:sz="4" w:space="0" w:color="000000"/>
            </w:tcBorders>
          </w:tcPr>
          <w:p>
            <w:pPr>
              <w:pStyle w:val="Normal"/>
              <w:spacing w:lineRule="auto" w:line="276" w:before="0" w:after="200"/>
              <w:jc w:val="both"/>
              <w:rPr>
                <w:color w:val="auto"/>
              </w:rPr>
            </w:pPr>
            <w:r>
              <w:rPr>
                <w:rFonts w:ascii="Arial" w:hAnsi="Arial"/>
                <w:color w:val="auto"/>
                <w:sz w:val="16"/>
                <w:szCs w:val="16"/>
              </w:rPr>
              <w:t>KPT SDK 19</w:t>
            </w:r>
          </w:p>
        </w:tc>
        <w:tc>
          <w:tcPr>
            <w:tcW w:w="6672" w:type="dxa"/>
            <w:tcBorders>
              <w:top w:val="single" w:sz="4" w:space="0" w:color="000000"/>
              <w:left w:val="single" w:sz="4" w:space="0" w:color="000000"/>
              <w:bottom w:val="single" w:sz="4" w:space="0" w:color="000000"/>
              <w:right w:val="single" w:sz="12" w:space="0" w:color="000000"/>
            </w:tcBorders>
          </w:tcPr>
          <w:p>
            <w:pPr>
              <w:pStyle w:val="Normal"/>
              <w:spacing w:lineRule="auto" w:line="276" w:before="0" w:after="200"/>
              <w:jc w:val="both"/>
              <w:rPr>
                <w:color w:val="auto"/>
              </w:rPr>
            </w:pPr>
            <w:r>
              <w:rPr>
                <w:rFonts w:ascii="Arial" w:hAnsi="Arial"/>
                <w:color w:val="auto"/>
                <w:sz w:val="16"/>
                <w:szCs w:val="16"/>
              </w:rPr>
              <w:t>Automobilių kelių standartizuotų dangų konstrukcijų projektavimo taisyklės.</w:t>
            </w:r>
          </w:p>
        </w:tc>
      </w:tr>
      <w:tr>
        <w:trPr/>
        <w:tc>
          <w:tcPr>
            <w:tcW w:w="2659" w:type="dxa"/>
            <w:tcBorders>
              <w:top w:val="single" w:sz="4" w:space="0" w:color="000000"/>
              <w:left w:val="single" w:sz="12" w:space="0" w:color="000000"/>
              <w:bottom w:val="single" w:sz="4" w:space="0" w:color="000000"/>
              <w:right w:val="single" w:sz="4" w:space="0" w:color="000000"/>
            </w:tcBorders>
          </w:tcPr>
          <w:p>
            <w:pPr>
              <w:pStyle w:val="Normal"/>
              <w:spacing w:lineRule="auto" w:line="276" w:before="0" w:after="200"/>
              <w:jc w:val="both"/>
              <w:rPr>
                <w:color w:val="auto"/>
              </w:rPr>
            </w:pPr>
            <w:r>
              <w:rPr>
                <w:rFonts w:ascii="Arial" w:hAnsi="Arial"/>
                <w:color w:val="auto"/>
                <w:sz w:val="16"/>
                <w:szCs w:val="16"/>
              </w:rPr>
              <w:t>TRA SBR 19</w:t>
            </w:r>
          </w:p>
        </w:tc>
        <w:tc>
          <w:tcPr>
            <w:tcW w:w="6672" w:type="dxa"/>
            <w:tcBorders>
              <w:top w:val="single" w:sz="4" w:space="0" w:color="000000"/>
              <w:left w:val="single" w:sz="4" w:space="0" w:color="000000"/>
              <w:bottom w:val="single" w:sz="4" w:space="0" w:color="000000"/>
              <w:right w:val="single" w:sz="12" w:space="0" w:color="000000"/>
            </w:tcBorders>
          </w:tcPr>
          <w:p>
            <w:pPr>
              <w:pStyle w:val="Normal"/>
              <w:spacing w:lineRule="auto" w:line="276" w:before="0" w:after="200"/>
              <w:jc w:val="both"/>
              <w:rPr>
                <w:color w:val="auto"/>
              </w:rPr>
            </w:pPr>
            <w:r>
              <w:rPr>
                <w:rFonts w:ascii="Arial" w:hAnsi="Arial"/>
                <w:color w:val="auto"/>
                <w:sz w:val="16"/>
                <w:szCs w:val="16"/>
              </w:rPr>
              <w:t>Automobilių kelių mineralinių medžiagų mišinių, naudojamų sluoksniams be rišiklių, techninių reikalavimų aprašas.</w:t>
            </w:r>
          </w:p>
        </w:tc>
      </w:tr>
      <w:tr>
        <w:trPr/>
        <w:tc>
          <w:tcPr>
            <w:tcW w:w="2659" w:type="dxa"/>
            <w:tcBorders>
              <w:top w:val="single" w:sz="4" w:space="0" w:color="000000"/>
              <w:left w:val="single" w:sz="12" w:space="0" w:color="000000"/>
              <w:bottom w:val="single" w:sz="4" w:space="0" w:color="000000"/>
              <w:right w:val="single" w:sz="4" w:space="0" w:color="000000"/>
            </w:tcBorders>
          </w:tcPr>
          <w:p>
            <w:pPr>
              <w:pStyle w:val="Normal"/>
              <w:spacing w:lineRule="auto" w:line="276" w:before="0" w:after="200"/>
              <w:jc w:val="both"/>
              <w:rPr>
                <w:color w:val="auto"/>
              </w:rPr>
            </w:pPr>
            <w:r>
              <w:rPr>
                <w:rFonts w:ascii="Arial" w:hAnsi="Arial"/>
                <w:color w:val="auto"/>
                <w:sz w:val="16"/>
                <w:szCs w:val="16"/>
              </w:rPr>
              <w:t>MN ŠRM 18</w:t>
            </w:r>
          </w:p>
        </w:tc>
        <w:tc>
          <w:tcPr>
            <w:tcW w:w="6672" w:type="dxa"/>
            <w:tcBorders>
              <w:top w:val="single" w:sz="4" w:space="0" w:color="000000"/>
              <w:left w:val="single" w:sz="4" w:space="0" w:color="000000"/>
              <w:bottom w:val="single" w:sz="4" w:space="0" w:color="000000"/>
              <w:right w:val="single" w:sz="12" w:space="0" w:color="000000"/>
            </w:tcBorders>
          </w:tcPr>
          <w:p>
            <w:pPr>
              <w:pStyle w:val="Normal"/>
              <w:spacing w:lineRule="auto" w:line="276" w:before="0" w:after="200"/>
              <w:jc w:val="both"/>
              <w:rPr>
                <w:color w:val="auto"/>
              </w:rPr>
            </w:pPr>
            <w:r>
              <w:rPr>
                <w:rFonts w:ascii="Arial" w:hAnsi="Arial"/>
                <w:color w:val="auto"/>
                <w:sz w:val="16"/>
                <w:szCs w:val="16"/>
              </w:rPr>
              <w:t>Metodiniai nurodymai atliekant regeneravimą maišyklėse šaltuoju būdu</w:t>
            </w:r>
          </w:p>
        </w:tc>
      </w:tr>
      <w:tr>
        <w:trPr/>
        <w:tc>
          <w:tcPr>
            <w:tcW w:w="2659" w:type="dxa"/>
            <w:tcBorders>
              <w:top w:val="single" w:sz="4" w:space="0" w:color="000000"/>
              <w:left w:val="single" w:sz="12" w:space="0" w:color="000000"/>
              <w:bottom w:val="single" w:sz="4" w:space="0" w:color="000000"/>
              <w:right w:val="single" w:sz="4" w:space="0" w:color="000000"/>
            </w:tcBorders>
          </w:tcPr>
          <w:p>
            <w:pPr>
              <w:pStyle w:val="Normal"/>
              <w:spacing w:lineRule="auto" w:line="276" w:before="0" w:after="200"/>
              <w:jc w:val="both"/>
              <w:rPr>
                <w:color w:val="auto"/>
              </w:rPr>
            </w:pPr>
            <w:r>
              <w:rPr>
                <w:rFonts w:ascii="Arial" w:hAnsi="Arial"/>
                <w:color w:val="auto"/>
                <w:sz w:val="16"/>
                <w:szCs w:val="16"/>
              </w:rPr>
              <w:t>R NAG 09</w:t>
            </w:r>
          </w:p>
        </w:tc>
        <w:tc>
          <w:tcPr>
            <w:tcW w:w="6672" w:type="dxa"/>
            <w:tcBorders>
              <w:top w:val="single" w:sz="4" w:space="0" w:color="000000"/>
              <w:left w:val="single" w:sz="4" w:space="0" w:color="000000"/>
              <w:bottom w:val="single" w:sz="4" w:space="0" w:color="000000"/>
              <w:right w:val="single" w:sz="12" w:space="0" w:color="000000"/>
            </w:tcBorders>
          </w:tcPr>
          <w:p>
            <w:pPr>
              <w:pStyle w:val="Normal"/>
              <w:spacing w:lineRule="auto" w:line="276" w:before="0" w:after="200"/>
              <w:jc w:val="both"/>
              <w:rPr>
                <w:color w:val="auto"/>
              </w:rPr>
            </w:pPr>
            <w:r>
              <w:rPr>
                <w:rFonts w:ascii="Arial" w:hAnsi="Arial"/>
                <w:color w:val="auto"/>
                <w:sz w:val="16"/>
                <w:szCs w:val="16"/>
              </w:rPr>
              <w:t>Automobilių kelių naudoto asfalto granulių panaudojimo rekomendacijos</w:t>
            </w:r>
          </w:p>
        </w:tc>
      </w:tr>
      <w:tr>
        <w:trPr/>
        <w:tc>
          <w:tcPr>
            <w:tcW w:w="2659" w:type="dxa"/>
            <w:tcBorders>
              <w:top w:val="single" w:sz="4" w:space="0" w:color="000000"/>
              <w:left w:val="single" w:sz="12" w:space="0" w:color="000000"/>
              <w:bottom w:val="single" w:sz="4" w:space="0" w:color="000000"/>
              <w:right w:val="single" w:sz="4" w:space="0" w:color="000000"/>
            </w:tcBorders>
          </w:tcPr>
          <w:p>
            <w:pPr>
              <w:pStyle w:val="Normal"/>
              <w:spacing w:lineRule="auto" w:line="276" w:before="0" w:after="200"/>
              <w:jc w:val="both"/>
              <w:rPr>
                <w:color w:val="auto"/>
              </w:rPr>
            </w:pPr>
            <w:r>
              <w:rPr>
                <w:rFonts w:ascii="Arial" w:hAnsi="Arial"/>
                <w:color w:val="auto"/>
                <w:sz w:val="16"/>
                <w:szCs w:val="16"/>
              </w:rPr>
              <w:t>TRA UŽPILDAI 19</w:t>
            </w:r>
          </w:p>
        </w:tc>
        <w:tc>
          <w:tcPr>
            <w:tcW w:w="6672" w:type="dxa"/>
            <w:tcBorders>
              <w:top w:val="single" w:sz="4" w:space="0" w:color="000000"/>
              <w:left w:val="single" w:sz="4" w:space="0" w:color="000000"/>
              <w:bottom w:val="single" w:sz="4" w:space="0" w:color="000000"/>
              <w:right w:val="single" w:sz="12" w:space="0" w:color="000000"/>
            </w:tcBorders>
          </w:tcPr>
          <w:p>
            <w:pPr>
              <w:pStyle w:val="Normal"/>
              <w:spacing w:lineRule="auto" w:line="276" w:before="0" w:after="200"/>
              <w:jc w:val="both"/>
              <w:rPr>
                <w:color w:val="auto"/>
              </w:rPr>
            </w:pPr>
            <w:r>
              <w:rPr>
                <w:rFonts w:ascii="Arial" w:hAnsi="Arial"/>
                <w:color w:val="auto"/>
                <w:sz w:val="16"/>
                <w:szCs w:val="16"/>
              </w:rPr>
              <w:t>Automobilių kelių mineralinių medžiagų techninių reikalavimų aprašas.</w:t>
            </w:r>
          </w:p>
        </w:tc>
      </w:tr>
      <w:tr>
        <w:trPr/>
        <w:tc>
          <w:tcPr>
            <w:tcW w:w="2659" w:type="dxa"/>
            <w:tcBorders>
              <w:top w:val="single" w:sz="4" w:space="0" w:color="000000"/>
              <w:left w:val="single" w:sz="12" w:space="0" w:color="000000"/>
              <w:bottom w:val="single" w:sz="12" w:space="0" w:color="000000"/>
              <w:right w:val="single" w:sz="4" w:space="0" w:color="000000"/>
            </w:tcBorders>
          </w:tcPr>
          <w:p>
            <w:pPr>
              <w:pStyle w:val="Normal"/>
              <w:spacing w:lineRule="auto" w:line="276" w:before="0" w:after="200"/>
              <w:jc w:val="both"/>
              <w:rPr>
                <w:color w:val="auto"/>
              </w:rPr>
            </w:pPr>
            <w:r>
              <w:rPr>
                <w:rFonts w:ascii="Arial" w:hAnsi="Arial"/>
                <w:color w:val="auto"/>
                <w:sz w:val="16"/>
                <w:szCs w:val="16"/>
              </w:rPr>
              <w:t>ĮT SBR 19</w:t>
            </w:r>
          </w:p>
        </w:tc>
        <w:tc>
          <w:tcPr>
            <w:tcW w:w="6672" w:type="dxa"/>
            <w:tcBorders>
              <w:top w:val="single" w:sz="4" w:space="0" w:color="000000"/>
              <w:left w:val="single" w:sz="4" w:space="0" w:color="000000"/>
              <w:bottom w:val="single" w:sz="12" w:space="0" w:color="000000"/>
              <w:right w:val="single" w:sz="12" w:space="0" w:color="000000"/>
            </w:tcBorders>
          </w:tcPr>
          <w:p>
            <w:pPr>
              <w:pStyle w:val="Normal"/>
              <w:spacing w:lineRule="auto" w:line="276" w:before="0" w:after="200"/>
              <w:jc w:val="both"/>
              <w:rPr>
                <w:color w:val="auto"/>
              </w:rPr>
            </w:pPr>
            <w:r>
              <w:rPr>
                <w:rFonts w:ascii="Arial" w:hAnsi="Arial"/>
                <w:color w:val="auto"/>
                <w:sz w:val="16"/>
                <w:szCs w:val="16"/>
              </w:rPr>
              <w:t>Automobilių kelių dangos konstrukcijos sluoksnių be rišiklių įrengimo taisyklės.</w:t>
            </w:r>
          </w:p>
        </w:tc>
      </w:tr>
    </w:tbl>
    <w:p>
      <w:pPr>
        <w:pStyle w:val="Normal"/>
        <w:spacing w:lineRule="auto" w:line="276"/>
        <w:ind w:firstLine="709"/>
        <w:jc w:val="both"/>
        <w:rPr>
          <w:rFonts w:ascii="Arial" w:hAnsi="Arial"/>
          <w:i/>
          <w:i/>
          <w:iCs/>
          <w:color w:val="auto"/>
          <w:sz w:val="20"/>
          <w:szCs w:val="20"/>
          <w:u w:val="single"/>
        </w:rPr>
      </w:pPr>
      <w:r>
        <w:rPr>
          <w:rFonts w:ascii="Arial" w:hAnsi="Arial"/>
          <w:i/>
          <w:iCs/>
          <w:color w:val="auto"/>
          <w:sz w:val="20"/>
          <w:szCs w:val="20"/>
          <w:u w:val="single"/>
        </w:rPr>
      </w:r>
    </w:p>
    <w:p>
      <w:pPr>
        <w:pStyle w:val="Paprtekstas"/>
        <w:widowControl/>
        <w:suppressAutoHyphens w:val="true"/>
        <w:bidi w:val="0"/>
        <w:spacing w:lineRule="auto" w:line="276"/>
        <w:ind w:hanging="0"/>
        <w:rPr>
          <w:color w:val="auto"/>
        </w:rPr>
      </w:pPr>
      <w:r>
        <w:rPr>
          <w:rFonts w:eastAsia="Times New Roman" w:cs="Times New Roman"/>
          <w:b/>
          <w:bCs/>
          <w:color w:val="auto"/>
          <w:kern w:val="0"/>
          <w:sz w:val="22"/>
          <w:szCs w:val="22"/>
          <w:lang w:val="lt-LT" w:eastAsia="en-US" w:bidi="ar-SA"/>
        </w:rPr>
        <w:t>3.5. Dangų ir bortų įrengimas</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ab/>
        <w:t>Vykdant darbus būtina griežtai laikytis projekte numatytų, bei atitinkamus darbus reglamentuojančių normatyvinių dokumentų reikalavimų, o iškilus nenumatytiems darbams arba išaiškėjus kitoms, projekte neaptartoms aplinkybėms, nedelsiant informuoti apie tai projekto autorius ir užsakovą.</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ab/>
        <w:t>Statybos darbų vykdymo procese būtina vadovautis statybos techniniais reglamentais:</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STR 1.06.01:2016 „Statybos darbai. Statinio statybos priežiūra“;</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STR 1.04.04:2017 „Statinio projektavimas, projekto ekspertizė“;</w:t>
      </w:r>
    </w:p>
    <w:p>
      <w:pPr>
        <w:pStyle w:val="Paprtekstas"/>
        <w:widowControl/>
        <w:suppressAutoHyphens w:val="true"/>
        <w:bidi w:val="0"/>
        <w:spacing w:lineRule="auto" w:line="276"/>
        <w:ind w:hanging="0"/>
        <w:rPr>
          <w:color w:val="auto"/>
        </w:rPr>
      </w:pPr>
      <w:r>
        <w:rPr>
          <w:rFonts w:eastAsia="Times New Roman" w:cs="Times New Roman"/>
          <w:b/>
          <w:bCs/>
          <w:color w:val="auto"/>
          <w:kern w:val="0"/>
          <w:szCs w:val="24"/>
          <w:lang w:val="lt-LT" w:eastAsia="en-US" w:bidi="ar-SA"/>
        </w:rPr>
        <w:t>PASTABA: Pasikeitus normatyviniams dokumentams, vadovautis galiojančiais normatyviniais dokumentais.</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ab/>
        <w:t>Nurodant, kurioms medžiagoms, gaminiams privalomas LR sertifikatas, o kuriems atitikties deklaracija arba gaminio pasas, vadovaujamasi aplinkos ministro 2015 01 28 Nr. D1-80 „Reglamentuojamų statybos produktų sąrašu“. Medžiagos ir gaminiai privalo tenkinti šių standartų reikalavimus ir turėti ten nurodytus arba geresnius techninius ir kokybės rodiklius. Esminiai techniniai statybos produktų rodikliai yra nurodomi aprašant atskirus darbus.</w:t>
      </w:r>
    </w:p>
    <w:p>
      <w:pPr>
        <w:pStyle w:val="Normal"/>
        <w:tabs>
          <w:tab w:val="clear" w:pos="1296"/>
          <w:tab w:val="left" w:pos="1440" w:leader="none"/>
        </w:tabs>
        <w:spacing w:lineRule="auto" w:line="276" w:before="120" w:after="0"/>
        <w:ind w:hanging="0"/>
        <w:jc w:val="both"/>
        <w:rPr>
          <w:color w:val="auto"/>
        </w:rPr>
      </w:pPr>
      <w:r>
        <w:rPr>
          <w:rFonts w:eastAsia="Times New Roman" w:cs="Arial" w:ascii="Arial" w:hAnsi="Arial"/>
          <w:b w:val="false"/>
          <w:bCs w:val="false"/>
          <w:i w:val="false"/>
          <w:iCs w:val="false"/>
          <w:caps w:val="false"/>
          <w:smallCaps w:val="false"/>
          <w:color w:val="000000"/>
          <w:spacing w:val="0"/>
          <w:kern w:val="0"/>
          <w:position w:val="0"/>
          <w:sz w:val="20"/>
          <w:sz w:val="20"/>
          <w:szCs w:val="20"/>
          <w:shd w:fill="auto" w:val="clear"/>
          <w:vertAlign w:val="baseline"/>
          <w:lang w:val="lt-LT" w:eastAsia="lt-LT" w:bidi="lt-LT"/>
        </w:rPr>
        <w:tab/>
        <w:t xml:space="preserve">Visos naujai projektuojamos dangos sklandžiai sujungiamos su esamomis dangomis. Sujungiant dangas negali būti dangų aukščių nesutapimų. Dangų sujungimo medžiagos bei konstrukciniai sprendiniai tikslinami DP. </w:t>
      </w:r>
    </w:p>
    <w:p>
      <w:pPr>
        <w:pStyle w:val="Paprtekstas"/>
        <w:widowControl/>
        <w:suppressAutoHyphens w:val="true"/>
        <w:bidi w:val="0"/>
        <w:spacing w:lineRule="auto" w:line="276"/>
        <w:ind w:hanging="0"/>
        <w:rPr>
          <w:color w:val="auto"/>
        </w:rPr>
      </w:pPr>
      <w:r>
        <w:rPr>
          <w:rFonts w:eastAsia="Times New Roman" w:cs="Times New Roman"/>
          <w:b/>
          <w:bCs/>
          <w:color w:val="auto"/>
          <w:kern w:val="0"/>
          <w:sz w:val="22"/>
          <w:szCs w:val="22"/>
          <w:lang w:val="lt-LT" w:eastAsia="en-US" w:bidi="ar-SA"/>
        </w:rPr>
        <w:t>3.5.1. Betono trinkelių dangos įrengimas</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ab/>
        <w:t>Dangų įrengimas vykdomas išardžius esamas dangas ir įrengus inžinerinius tinklus. Dangų įrengimą sudaro toliau išvardinti darbai:</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 xml:space="preserve">• </w:t>
      </w:r>
      <w:r>
        <w:rPr>
          <w:rFonts w:eastAsia="Times New Roman" w:cs="Times New Roman"/>
          <w:color w:val="auto"/>
          <w:kern w:val="0"/>
          <w:szCs w:val="24"/>
          <w:lang w:val="lt-LT" w:eastAsia="en-US" w:bidi="ar-SA"/>
        </w:rPr>
        <w:t>apatinio šalčiui nejautrių medžiagų sluoksnio įrengimas (ten kur numatyta),</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 xml:space="preserve">• </w:t>
      </w:r>
      <w:r>
        <w:rPr>
          <w:rFonts w:eastAsia="Times New Roman" w:cs="Times New Roman"/>
          <w:color w:val="auto"/>
          <w:kern w:val="0"/>
          <w:szCs w:val="24"/>
          <w:lang w:val="lt-LT" w:eastAsia="en-US" w:bidi="ar-SA"/>
        </w:rPr>
        <w:t>pagrindo įrengimas (arba stabilizuoto esamo grunto su priedais įrengimas),</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 xml:space="preserve">• </w:t>
      </w:r>
      <w:r>
        <w:rPr>
          <w:rFonts w:eastAsia="Times New Roman" w:cs="Times New Roman"/>
          <w:color w:val="auto"/>
          <w:kern w:val="0"/>
          <w:szCs w:val="24"/>
          <w:lang w:val="lt-LT" w:eastAsia="en-US" w:bidi="ar-SA"/>
        </w:rPr>
        <w:t>pakloto įrengimas,</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 xml:space="preserve">• </w:t>
      </w:r>
      <w:r>
        <w:rPr>
          <w:rFonts w:eastAsia="Times New Roman" w:cs="Times New Roman"/>
          <w:color w:val="auto"/>
          <w:kern w:val="0"/>
          <w:szCs w:val="24"/>
          <w:lang w:val="lt-LT" w:eastAsia="en-US" w:bidi="ar-SA"/>
        </w:rPr>
        <w:t>viršutinės dangos įrengimas,</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 xml:space="preserve">• </w:t>
      </w:r>
      <w:r>
        <w:rPr>
          <w:rFonts w:eastAsia="Times New Roman" w:cs="Times New Roman"/>
          <w:color w:val="auto"/>
          <w:kern w:val="0"/>
          <w:szCs w:val="24"/>
          <w:lang w:val="lt-LT" w:eastAsia="en-US" w:bidi="ar-SA"/>
        </w:rPr>
        <w:t>lygiagrečiai vykdomas bortų ir lietaus nuotekų surinkimo šulinių įrengimas.</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ab/>
        <w:t>Trinkelių danga klojama iki 4 mm tarpais, kad galėtų įsiskverbti išlyginamojo sluoksnio medžiaga į tarpus ir tuo pačiu įrengiant elastingą dangos konstrukciją. Tarpus užpildyti granito atsijų - skaldelės mišiniu 0/2 frakcijos, sutankintą tarpą išlyginti. Užpildžius tarpus dangos paviršių reikia nuvalyti ir tolygiai sutankinti. 10 % patikrintų pagrindų altitudžių gali turėti paklaidą 15-20 mm, kitos 10 mm. Dangos paviršius turi būti be banguotumo, įdubų, nelygumų.</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ab/>
      </w:r>
      <w:r>
        <w:rPr>
          <w:rFonts w:eastAsia="Times New Roman" w:cs="Times New Roman"/>
          <w:color w:val="auto"/>
          <w:kern w:val="0"/>
          <w:sz w:val="20"/>
          <w:szCs w:val="24"/>
          <w:lang w:val="lt-LT" w:eastAsia="en-US" w:bidi="ar-SA"/>
        </w:rPr>
        <w:t xml:space="preserve">Betoninės trinkelės turi atitikti standarto LST EN 1338 reikalavimus, įskaitant nurodymus atitikties įvertinimui, ženklinimui ir bandymo protokolui. Trinkelių atsparumas atmosferos poveikiui turi atitikti TRA TRINKELĖS VIII skyriaus III skirsnio 16 lentelės reikalavimus. </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ab/>
      </w:r>
      <w:r>
        <w:rPr>
          <w:rFonts w:eastAsia="Times New Roman" w:cs="Times New Roman"/>
          <w:color w:val="auto"/>
          <w:kern w:val="0"/>
          <w:szCs w:val="24"/>
          <w:u w:val="single"/>
          <w:lang w:val="lt-LT" w:eastAsia="en-US" w:bidi="ar-SA"/>
        </w:rPr>
        <w:t>Trinkelės turi būti nesuskilusios, be nudaužytų kampų ir šonų. Betono trinkelės turi atitikti LST EN 1338:2003/P:2008 keliamus reikalavimus.</w:t>
      </w:r>
    </w:p>
    <w:p>
      <w:pPr>
        <w:pStyle w:val="Paprtekstas"/>
        <w:widowControl/>
        <w:suppressAutoHyphens w:val="true"/>
        <w:bidi w:val="0"/>
        <w:spacing w:lineRule="auto" w:line="276"/>
        <w:ind w:hanging="0"/>
        <w:rPr>
          <w:color w:val="auto"/>
        </w:rPr>
      </w:pPr>
      <w:r>
        <w:rPr>
          <w:rFonts w:eastAsia="Times New Roman" w:cs="Times New Roman"/>
          <w:b/>
          <w:bCs/>
          <w:color w:val="auto"/>
          <w:kern w:val="0"/>
          <w:sz w:val="22"/>
          <w:szCs w:val="22"/>
          <w:lang w:val="lt-LT" w:eastAsia="en-US" w:bidi="ar-SA"/>
        </w:rPr>
        <w:t>3.5.2. Akmens plokščių, trinkelių dangos įrengimas</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ab/>
      </w:r>
      <w:r>
        <w:rPr>
          <w:rFonts w:eastAsia="Times New Roman" w:cs="Times New Roman"/>
          <w:color w:val="auto"/>
          <w:kern w:val="0"/>
          <w:szCs w:val="24"/>
          <w:u w:val="single"/>
          <w:lang w:val="lt-LT" w:eastAsia="en-US" w:bidi="ar-SA"/>
        </w:rPr>
        <w:t>Visi akmens gaminiai turi atitikti LST EN 1341:2012, LST EN 1342:2012</w:t>
      </w:r>
      <w:r>
        <w:rPr>
          <w:rFonts w:eastAsia="Times New Roman" w:cs="Times New Roman"/>
          <w:color w:val="auto"/>
          <w:kern w:val="0"/>
          <w:szCs w:val="24"/>
          <w:lang w:val="lt-LT" w:eastAsia="en-US" w:bidi="ar-SA"/>
        </w:rPr>
        <w:t xml:space="preserve"> reikalavimus, įskaitant nurodymus atitikties įvertinimui, ženklinimui, laikymui, tiekimui ir bandymo protokolui.</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ab/>
        <w:t xml:space="preserve">Prieš dangos klojimo darbus turi būti suformuoti nuolydžiai ir lygūs paviršiai. Paviršiai turi būti nuvalyti nuo akmenų, purvo, tinkamos formos ir sukietinti volu į vienodą ir tolygų paviršių. Baigto paviršiaus konstrukcija turi būti be įdubų, banguotumo, nelygumų, tikslaus profilio, tolygi. Akmens plokštės ir trinkelės turi būti sveikos, be nudaužytų kampų ir šonų. Gamintojas turi kokybiškai įpakuoti gaminius, garantuoti jų saugų transportavimą. </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ab/>
        <w:t>Akmens plokščių danga klojama prisilaikant 7 mm tarpų, kad galėtų įsiskverbti išlyginamojo sluoksnio medžiaga į tarpus ir tuo pačiu būtų įrengta elastinga dangos konstrukcija. Siūlių geometrija turi būti taisyklinga ir sklandi. Nuokrypis tarpams ≤ 1 mm, plokščių leistini nuokrypiai ir tarpo nuokrypiai nesumuojami. Pėsčiųjų zonoje tarpai užpildomi granito atsijų – skaldelės mišiniu 0/2 frakcija. Baigtas dangos paviršius turi būti be banguotumo, įdubų, nelygumų. Danga siūlių vietose turi būti paklota vienodame aukštyje (lygyje). Klojant lygaus paviršiaus nuokrypis neturi viršyti ≤ 1 mm tarp gretimų plokščių, grublėto paviršiaus nuokrypis neturi viršyti ≤ 2 mm tarp gretimų plokščių. Dangų gaminių projekcijos matmenys turi būti išmatuoti pagal EN 13373:2020, o nuokrypiai nuo deklaruotų matmenų turi atitikti 2 klasę (P2, D2, T2):</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 pjautų kraštinių plokštės projekcijos matmenų leidžiamos nuokrypos (P2) ± 2 mm;</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 pjautų kraštinių plokštės įstrižainių leidžiamosios nuokrypos (D2) 3 mm;</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 plokštės storio leidžiamosios nuokrypos (T2):</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1. Kai plokštės storis ≤ 30 mm – ± 10 %,</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2. Kai plokštės storis &gt; 30 mm ir ≤ 80 mm – ± 3 mm,</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3. Kai plokštės storis &gt; 80 mm – ± 4 mm.</w:t>
      </w:r>
    </w:p>
    <w:p>
      <w:pPr>
        <w:pStyle w:val="Paprtekstas"/>
        <w:widowControl/>
        <w:suppressAutoHyphens w:val="true"/>
        <w:bidi w:val="0"/>
        <w:spacing w:lineRule="auto" w:line="276"/>
        <w:ind w:hanging="0"/>
        <w:rPr>
          <w:color w:val="auto"/>
        </w:rPr>
      </w:pPr>
      <w:r>
        <w:rPr>
          <w:rFonts w:eastAsia="Times New Roman" w:cs="Times New Roman"/>
          <w:color w:val="auto"/>
          <w:kern w:val="0"/>
          <w:szCs w:val="24"/>
          <w:u w:val="single"/>
          <w:lang w:val="lt-LT" w:eastAsia="en-US" w:bidi="ar-SA"/>
        </w:rPr>
        <w:t xml:space="preserve"> </w:t>
      </w:r>
      <w:r>
        <w:rPr>
          <w:rFonts w:eastAsia="Times New Roman" w:cs="Times New Roman"/>
          <w:color w:val="auto"/>
          <w:kern w:val="0"/>
          <w:szCs w:val="24"/>
          <w:u w:val="single"/>
          <w:lang w:val="lt-LT" w:eastAsia="en-US" w:bidi="ar-SA"/>
        </w:rPr>
        <w:t>Visų akmens plokščių ir trinkelių matomos briaunos (deginto paviršiaus) turi būti nusklembtos 3 mm.</w:t>
      </w:r>
    </w:p>
    <w:p>
      <w:pPr>
        <w:pStyle w:val="Paprtekstas"/>
        <w:widowControl/>
        <w:suppressAutoHyphens w:val="true"/>
        <w:bidi w:val="0"/>
        <w:spacing w:lineRule="auto" w:line="276"/>
        <w:ind w:hanging="0"/>
        <w:rPr>
          <w:color w:val="auto"/>
        </w:rPr>
      </w:pPr>
      <w:r>
        <w:rPr>
          <w:rFonts w:eastAsia="Times New Roman" w:cs="Times New Roman"/>
          <w:i/>
          <w:iCs/>
          <w:color w:val="auto"/>
          <w:kern w:val="0"/>
          <w:szCs w:val="24"/>
          <w:u w:val="none"/>
          <w:lang w:val="lt-LT" w:eastAsia="en-US" w:bidi="ar-SA"/>
        </w:rPr>
        <w:t xml:space="preserve">Tarpų užpildo iš granito atsijų – skaldelės įrengimas: </w:t>
      </w:r>
    </w:p>
    <w:p>
      <w:pPr>
        <w:pStyle w:val="Paprtekstas"/>
        <w:widowControl/>
        <w:suppressAutoHyphens w:val="true"/>
        <w:bidi w:val="0"/>
        <w:spacing w:lineRule="auto" w:line="276"/>
        <w:ind w:hanging="0"/>
        <w:rPr>
          <w:color w:val="auto"/>
        </w:rPr>
      </w:pPr>
      <w:r>
        <w:rPr>
          <w:rFonts w:eastAsia="Times New Roman" w:cs="Times New Roman"/>
          <w:i/>
          <w:iCs/>
          <w:color w:val="auto"/>
          <w:kern w:val="0"/>
          <w:szCs w:val="24"/>
          <w:u w:val="none"/>
          <w:lang w:val="lt-LT" w:eastAsia="en-US" w:bidi="ar-SA"/>
        </w:rPr>
        <w:t>Siūlės turi būti visiškai ir nuolat užpilamos granito atsijų – skaldelės mišiniu 0/2 frakcija, lygiagrečiai atliekamiems klojimo darbams. Siūlėms užpildyti užpilo medžiaga turi būti pilama ant paklotos dangos, įšluojama į siūles. Visą siūlių užpilo perteklių reikia pašalinti. Užpildžius tarpus, dangos paviršių reikia nuvalyti ir tolygia sutankinti vibravimo ar kalimo priemonėmis. Jei reikia siūlės turi būti užpiltos pakartotinai.</w:t>
      </w:r>
    </w:p>
    <w:p>
      <w:pPr>
        <w:pStyle w:val="Paprtekstas"/>
        <w:widowControl/>
        <w:suppressAutoHyphens w:val="true"/>
        <w:bidi w:val="0"/>
        <w:spacing w:lineRule="auto" w:line="276"/>
        <w:ind w:hanging="0"/>
        <w:rPr>
          <w:color w:val="auto"/>
        </w:rPr>
      </w:pPr>
      <w:r>
        <w:rPr>
          <w:rFonts w:eastAsia="Times New Roman" w:cs="Times New Roman"/>
          <w:b/>
          <w:bCs/>
          <w:color w:val="auto"/>
          <w:kern w:val="0"/>
          <w:sz w:val="22"/>
          <w:szCs w:val="22"/>
          <w:lang w:val="lt-LT" w:eastAsia="en-US" w:bidi="ar-SA"/>
        </w:rPr>
        <w:t>3.5.3. Asfaltbetonio dangų įrengimas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 xml:space="preserve">Asfaltbetonio dangos spalva dviračių takams – raudona. </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Asfaltbetonio dangos sluoksniai neklojami, jei esamo apatinio (pagrindo ar dangos) sluoksnio paviršius yra šlapias. Esamas apatinis sluoksnis turi būti švarus ir, jei reikia, pagruntuotas. Jį leidžiama kloti esant paros vidutinei oro temperatūrai ne žemesnei kaip + 5°C.</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Jei klojamų sluoksnių briaunos nesutvirtinamos atsparomis, tai apatinių ir viršutinių dėvimųjų dangos, skaldelės ir mastikos bei pagrindo - dangos sluoksnių asfaltbetonio briaunos įrengiamos su nuolydžiu. Atskirų sluoksnių briaunoms suteikiamas ne mažesnis kaip 2:1 nuolydis.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Pagruntavimo bitumo emulsija C 60 BP 4-S išeiga tarp asfalto pagrindo sluoksnio ir asfalto apatinio sluoksnio 0,35 kg/m2, tarp apatinio asfalto sluoksnio ir asfalto viršutinio sluoksnio – 0,25 kg/m2. Pagruntavimas atliekamas iš naujo, jei dėl kokių nors priežasčių buvo užterštas.</w:t>
      </w:r>
    </w:p>
    <w:p>
      <w:pPr>
        <w:pStyle w:val="Paprtekstas"/>
        <w:widowControl/>
        <w:suppressAutoHyphens w:val="true"/>
        <w:bidi w:val="0"/>
        <w:spacing w:lineRule="auto" w:line="276"/>
        <w:rPr>
          <w:color w:val="auto"/>
        </w:rPr>
      </w:pPr>
      <w:r>
        <w:rPr>
          <w:rFonts w:eastAsia="Times New Roman" w:cs="Times New Roman"/>
          <w:i/>
          <w:iCs/>
          <w:color w:val="auto"/>
          <w:kern w:val="0"/>
          <w:szCs w:val="24"/>
          <w:u w:val="single"/>
          <w:lang w:val="lt-LT" w:eastAsia="en-US" w:bidi="ar-SA"/>
        </w:rPr>
        <w:t>Asfaltbetonio dangos sluoksnių klojimas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 xml:space="preserve">Dangos sluoksniai klojami taip, kad jų savybės būtų kiek galima tolygesnės ir būtų įvykdyti jiems keliami reikalavimai. </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Klojant dangos sluoksnius, tarpusavyje suderinami vienas paskui kitą nepertraukiamai atliekami darbo procesai. Be to, atsižvelgiama į gamybinius pajėgumus ir juos atitinkančius mechanizmus.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Asfaltbetonio mišinys klojamas mechanizuotai, t.y. asfaltbetonio klotuvu. Paklotą mišinį reikia pradėti tankinti kuo anksčiau, kai tik volai nebesukelia per aukštai tankinimo temperatūrai būdingų deformacijų (būdingos deformacijos: plentvolio ratai išstumia mišinį į šonus; pravažiavus plentvoliui sluoksnio paviršius sutrūkinėja; mišinys limpa prie plentvolio ratų; mišinys stumiamas plentvolio ratų priekyje). Pagrindinis pakloto mišinio sutankinimas turi būti atliktas esant jo temperatūrai ne mažesnei kaip 100°C. Mišinio temperatūrai krintant nuo 100°C iki 80°C gali būti atliekamas tik defektų taisymas (volų pėdsakų, išilginių ir skersinių nelygumų šalinimas, kraštų ir siūlių galutinis pritankinimas ir pan.).</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Tankinimo priemonių skaičius, rūšis ir svoris suderinami su klojimo darbų našumu, sluoksnio storiu, mišinio rūšimi bei atmosferinėmis, metų laiko ir vietovės sąlygomis. Jei tai įmanoma, ruožo pradžioje reiktų atlikti bandomąjį sutankinimą.</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Tankinimo priemonėms draudžiama stovėti ant naujai pakloto dangos sluoksnio kol jis neatvės ir neliks mechanizmų stovėjimo pėdsakų. Jei dangos sluoksnių įrengimas nutraukiamas kokiam tai laiko tarpui, per kurį paklotas sluoksnis gali atvėsti, tai klotuvas privalo nuvažiuoti tiek, kad būtų galima reikiamai sutankinti paskiausiai paklotą mišinį.</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Kai danga klojama keliais sluoksniais, atskirų sluoksnių skersines siūles reikia perdengti bent 20 cm. Tai galioja ir išilginėms siūlėms.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Dangos sluoksnių siūlės turi būti tiesios. Viršutinių dėvimųjų sluoksnių išilginės siūlės priderinamos prie ašinės linijos.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Įrengiant sluoksnį keliomis juostomis išilginės siūlės turi būti sujungiamos tolygiai ir patikimai. Jei prie atvėsusios asfaltbetonio dangos sluoksnio juostos klojama kita juosta, tai atvėsusios sluoksnio juostos šoninis paviršius tolygiai sutepamas rišamąja medžiaga. Be to, esant reikalui, taikomos kitos priemonės (kaitinimas ir pan.).</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Pamainos pradžioje ir dirbant su pertraukomis pakloto sluoksnio skersinė siūlė vertikaliai nukertama pilnu storiu ir tolygiai sutepama rišamąja medžiaga. Po to kruopščiai prijungiamas po pertraukos toliau klojamas sluoksnis.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 xml:space="preserve">Jei viršutiniai dėvimieji dangos sluoksniai klojami tarp vienodo aukščio dangos kraštų atsparų, tai sluoksnio paviršius įrengiamas (0,5 - 1,0) cm aukščiau atsparų viršaus. </w:t>
      </w:r>
    </w:p>
    <w:p>
      <w:pPr>
        <w:pStyle w:val="Paprtekstas"/>
        <w:widowControl/>
        <w:suppressAutoHyphens w:val="true"/>
        <w:bidi w:val="0"/>
        <w:spacing w:lineRule="auto" w:line="276"/>
        <w:rPr>
          <w:color w:val="auto"/>
        </w:rPr>
      </w:pPr>
      <w:r>
        <w:rPr>
          <w:rFonts w:eastAsia="Times New Roman" w:cs="Times New Roman"/>
          <w:i/>
          <w:iCs/>
          <w:color w:val="auto"/>
          <w:kern w:val="0"/>
          <w:szCs w:val="24"/>
          <w:u w:val="single"/>
          <w:lang w:val="lt-LT" w:eastAsia="en-US" w:bidi="ar-SA"/>
        </w:rPr>
        <w:t>Reikalavimai asfalto dangoms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Mechanizuotai klotuvu paklotų SV ir I–VI konstrukcijos klasės asfalto dangų lygumas, matuojant prošvaisas skersine ir išilgine kryptimis 3 m ilgio liniuote pagal LST EN 13036-7, darbų priėmimo metu neturi viršyti 3 lentelėje nurodytų verčių. Garantinio laikotarpio metu asfalto viršutinio sluoksnio paviršiaus lygumas, matuojant prošvaisas skersine kryptimi 3 m ilgio liniuote, neturi viršyti 7,0 mm vertinamosios vertės. Šios vertinamosios vertės viršijimas dar nėra defekto įrodymas. Kiekvienu tokiu atveju užsakovas turi įrodyti rangovo atsakomybę ir pareigą pašalinti defektą. Papildomose techninėse specifikacijose gali būti numatytos didesnės dangų, kuriomis vyksta lėtaeigis transporto eismas, paviršiaus nelygumo vertės darbų priėmimo metu, tačiau jos neturi viršyti 10 mm. Šiuo atveju papildomų vertinamųjų verčių garantinio laikotarpio metu nėra nustatoma. Projekte numatyto išilginio ir skersinio nuolydžio poveikis lygumo vertinimui turi būti eliminuotas. Paviršiaus nelygumai, neviršijantys ribinių verčių, tačiau išsidėstę reguliariais trumpais atstumais, o ne laipsniškai pereinantys, taip pat laikomi defektais. Panašių į skalbimo lentą nelygumų atveju sprendžiama, ar galima pašalinti defektus, ar galimas susitarimas dėl piniginių išskaitų taikymo.</w:t>
      </w:r>
    </w:p>
    <w:p>
      <w:pPr>
        <w:pStyle w:val="Caption"/>
        <w:keepNext w:val="true"/>
        <w:rPr>
          <w:color w:val="auto"/>
        </w:rPr>
      </w:pPr>
      <w:r>
        <w:rPr>
          <w:color w:val="auto"/>
        </w:rPr>
        <w:t>1 Lentelė</w:t>
      </w:r>
    </w:p>
    <w:tbl>
      <w:tblPr>
        <w:tblW w:w="10345" w:type="dxa"/>
        <w:jc w:val="left"/>
        <w:tblInd w:w="-390" w:type="dxa"/>
        <w:tblLayout w:type="fixed"/>
        <w:tblCellMar>
          <w:top w:w="0" w:type="dxa"/>
          <w:left w:w="10" w:type="dxa"/>
          <w:bottom w:w="0" w:type="dxa"/>
          <w:right w:w="0" w:type="dxa"/>
        </w:tblCellMar>
      </w:tblPr>
      <w:tblGrid>
        <w:gridCol w:w="2619"/>
        <w:gridCol w:w="2329"/>
        <w:gridCol w:w="1777"/>
        <w:gridCol w:w="1446"/>
        <w:gridCol w:w="2174"/>
      </w:tblGrid>
      <w:tr>
        <w:trPr>
          <w:trHeight w:val="283" w:hRule="atLeast"/>
        </w:trPr>
        <w:tc>
          <w:tcPr>
            <w:tcW w:w="2619" w:type="dxa"/>
            <w:tcBorders>
              <w:top w:val="single" w:sz="8" w:space="0" w:color="000000"/>
              <w:left w:val="single" w:sz="8" w:space="0" w:color="000000"/>
              <w:bottom w:val="single" w:sz="8" w:space="0" w:color="000000"/>
            </w:tcBorders>
            <w:shd w:fill="FFFFFF" w:val="clear"/>
          </w:tcPr>
          <w:p>
            <w:pPr>
              <w:pStyle w:val="Normal"/>
              <w:spacing w:lineRule="auto" w:line="276" w:before="0" w:after="200"/>
              <w:jc w:val="center"/>
              <w:rPr>
                <w:rFonts w:ascii="Arial" w:hAnsi="Arial"/>
                <w:color w:val="auto"/>
                <w:sz w:val="16"/>
                <w:szCs w:val="16"/>
              </w:rPr>
            </w:pPr>
            <w:r>
              <w:rPr>
                <w:rFonts w:ascii="Arial" w:hAnsi="Arial"/>
                <w:color w:val="auto"/>
                <w:sz w:val="16"/>
                <w:szCs w:val="16"/>
              </w:rPr>
            </w:r>
          </w:p>
        </w:tc>
        <w:tc>
          <w:tcPr>
            <w:tcW w:w="7726" w:type="dxa"/>
            <w:gridSpan w:val="4"/>
            <w:tcBorders>
              <w:top w:val="single" w:sz="8" w:space="0" w:color="000000"/>
              <w:left w:val="single" w:sz="8" w:space="0" w:color="000000"/>
              <w:bottom w:val="single" w:sz="8" w:space="0" w:color="000000"/>
              <w:right w:val="single" w:sz="8" w:space="0" w:color="000000"/>
            </w:tcBorders>
            <w:shd w:fill="FFFFFF" w:val="clear"/>
          </w:tcPr>
          <w:p>
            <w:pPr>
              <w:pStyle w:val="Normal"/>
              <w:spacing w:lineRule="auto" w:line="276" w:before="0" w:after="200"/>
              <w:jc w:val="center"/>
              <w:rPr>
                <w:color w:val="auto"/>
              </w:rPr>
            </w:pPr>
            <w:r>
              <w:rPr>
                <w:rFonts w:ascii="Arial" w:hAnsi="Arial"/>
                <w:color w:val="auto"/>
                <w:sz w:val="16"/>
                <w:szCs w:val="16"/>
              </w:rPr>
              <w:t>Lygumas, matuojant prošvaisas 3 m liniuote, mm</w:t>
            </w:r>
          </w:p>
        </w:tc>
      </w:tr>
      <w:tr>
        <w:trPr>
          <w:trHeight w:val="23" w:hRule="atLeast"/>
        </w:trPr>
        <w:tc>
          <w:tcPr>
            <w:tcW w:w="2619" w:type="dxa"/>
            <w:vMerge w:val="restart"/>
            <w:tcBorders>
              <w:left w:val="single" w:sz="8" w:space="0" w:color="000000"/>
              <w:bottom w:val="single" w:sz="8" w:space="0" w:color="000000"/>
            </w:tcBorders>
            <w:shd w:fill="FFFFFF" w:val="clear"/>
          </w:tcPr>
          <w:p>
            <w:pPr>
              <w:pStyle w:val="Normal"/>
              <w:spacing w:lineRule="auto" w:line="276" w:before="0" w:after="200"/>
              <w:jc w:val="center"/>
              <w:rPr>
                <w:color w:val="auto"/>
              </w:rPr>
            </w:pPr>
            <w:r>
              <w:rPr>
                <w:rFonts w:ascii="Arial" w:hAnsi="Arial"/>
                <w:color w:val="auto"/>
                <w:sz w:val="16"/>
                <w:szCs w:val="16"/>
              </w:rPr>
              <w:t>Posluoksnis, ant kurio klojama</w:t>
            </w:r>
          </w:p>
        </w:tc>
        <w:tc>
          <w:tcPr>
            <w:tcW w:w="2329" w:type="dxa"/>
            <w:vMerge w:val="restart"/>
            <w:tcBorders>
              <w:left w:val="single" w:sz="8" w:space="0" w:color="000000"/>
              <w:bottom w:val="single" w:sz="8" w:space="0" w:color="000000"/>
            </w:tcBorders>
            <w:shd w:fill="FFFFFF" w:val="clear"/>
          </w:tcPr>
          <w:p>
            <w:pPr>
              <w:pStyle w:val="Normal"/>
              <w:spacing w:lineRule="auto" w:line="276" w:before="0" w:after="200"/>
              <w:jc w:val="center"/>
              <w:rPr>
                <w:color w:val="auto"/>
              </w:rPr>
            </w:pPr>
            <w:r>
              <w:rPr>
                <w:rFonts w:ascii="Arial" w:hAnsi="Arial"/>
                <w:color w:val="auto"/>
                <w:sz w:val="16"/>
                <w:szCs w:val="16"/>
              </w:rPr>
              <w:t>Asfalto pagrindo sluoksniai, asfalto pagrindo-dangos sluoksniai</w:t>
            </w:r>
          </w:p>
        </w:tc>
        <w:tc>
          <w:tcPr>
            <w:tcW w:w="1777" w:type="dxa"/>
            <w:vMerge w:val="restart"/>
            <w:tcBorders>
              <w:left w:val="single" w:sz="8" w:space="0" w:color="000000"/>
              <w:bottom w:val="single" w:sz="8" w:space="0" w:color="000000"/>
            </w:tcBorders>
            <w:shd w:fill="FFFFFF" w:val="clear"/>
          </w:tcPr>
          <w:p>
            <w:pPr>
              <w:pStyle w:val="Normal"/>
              <w:spacing w:lineRule="auto" w:line="276" w:before="0" w:after="200"/>
              <w:jc w:val="center"/>
              <w:rPr>
                <w:color w:val="auto"/>
              </w:rPr>
            </w:pPr>
            <w:r>
              <w:rPr>
                <w:rFonts w:ascii="Arial" w:hAnsi="Arial"/>
                <w:color w:val="auto"/>
                <w:sz w:val="16"/>
                <w:szCs w:val="16"/>
              </w:rPr>
              <w:t>Asfalto apatiniai sluoksniai</w:t>
            </w:r>
          </w:p>
        </w:tc>
        <w:tc>
          <w:tcPr>
            <w:tcW w:w="3620" w:type="dxa"/>
            <w:gridSpan w:val="2"/>
            <w:tcBorders>
              <w:left w:val="single" w:sz="8" w:space="0" w:color="000000"/>
              <w:bottom w:val="single" w:sz="8" w:space="0" w:color="000000"/>
              <w:right w:val="single" w:sz="8" w:space="0" w:color="000000"/>
            </w:tcBorders>
            <w:shd w:fill="FFFFFF" w:val="clear"/>
          </w:tcPr>
          <w:p>
            <w:pPr>
              <w:pStyle w:val="Normal"/>
              <w:spacing w:lineRule="auto" w:line="276" w:before="0" w:after="200"/>
              <w:jc w:val="center"/>
              <w:rPr>
                <w:color w:val="auto"/>
              </w:rPr>
            </w:pPr>
            <w:r>
              <w:rPr>
                <w:rFonts w:ascii="Arial" w:hAnsi="Arial"/>
                <w:color w:val="auto"/>
                <w:sz w:val="16"/>
                <w:szCs w:val="16"/>
              </w:rPr>
              <w:t>Asfalto viršutiniai sluoksniai iš</w:t>
            </w:r>
          </w:p>
        </w:tc>
      </w:tr>
      <w:tr>
        <w:trPr>
          <w:trHeight w:val="23" w:hRule="atLeast"/>
        </w:trPr>
        <w:tc>
          <w:tcPr>
            <w:tcW w:w="2619" w:type="dxa"/>
            <w:vMerge w:val="continue"/>
            <w:tcBorders>
              <w:left w:val="single" w:sz="8" w:space="0" w:color="000000"/>
              <w:bottom w:val="single" w:sz="8" w:space="0" w:color="000000"/>
            </w:tcBorders>
            <w:shd w:fill="FFFFFF" w:val="clear"/>
          </w:tcPr>
          <w:p>
            <w:pPr>
              <w:pStyle w:val="Normal"/>
              <w:snapToGrid w:val="false"/>
              <w:spacing w:lineRule="auto" w:line="276" w:before="0" w:after="200"/>
              <w:jc w:val="center"/>
              <w:rPr>
                <w:rFonts w:ascii="Arial" w:hAnsi="Arial"/>
                <w:color w:val="auto"/>
                <w:sz w:val="16"/>
                <w:szCs w:val="16"/>
                <w:lang w:val="en-US"/>
              </w:rPr>
            </w:pPr>
            <w:r>
              <w:rPr>
                <w:rFonts w:ascii="Arial" w:hAnsi="Arial"/>
                <w:color w:val="auto"/>
                <w:sz w:val="16"/>
                <w:szCs w:val="16"/>
                <w:lang w:val="en-US"/>
              </w:rPr>
            </w:r>
          </w:p>
        </w:tc>
        <w:tc>
          <w:tcPr>
            <w:tcW w:w="2329" w:type="dxa"/>
            <w:vMerge w:val="continue"/>
            <w:tcBorders>
              <w:left w:val="single" w:sz="8" w:space="0" w:color="000000"/>
              <w:bottom w:val="single" w:sz="8" w:space="0" w:color="000000"/>
            </w:tcBorders>
            <w:shd w:fill="FFFFFF" w:val="clear"/>
          </w:tcPr>
          <w:p>
            <w:pPr>
              <w:pStyle w:val="Normal"/>
              <w:snapToGrid w:val="false"/>
              <w:spacing w:lineRule="auto" w:line="276" w:before="0" w:after="200"/>
              <w:jc w:val="center"/>
              <w:rPr>
                <w:rFonts w:ascii="Arial" w:hAnsi="Arial"/>
                <w:color w:val="auto"/>
                <w:sz w:val="16"/>
                <w:szCs w:val="16"/>
                <w:lang w:val="en-US"/>
              </w:rPr>
            </w:pPr>
            <w:r>
              <w:rPr>
                <w:rFonts w:ascii="Arial" w:hAnsi="Arial"/>
                <w:color w:val="auto"/>
                <w:sz w:val="16"/>
                <w:szCs w:val="16"/>
                <w:lang w:val="en-US"/>
              </w:rPr>
            </w:r>
          </w:p>
        </w:tc>
        <w:tc>
          <w:tcPr>
            <w:tcW w:w="1777" w:type="dxa"/>
            <w:vMerge w:val="continue"/>
            <w:tcBorders>
              <w:left w:val="single" w:sz="8" w:space="0" w:color="000000"/>
              <w:bottom w:val="single" w:sz="8" w:space="0" w:color="000000"/>
            </w:tcBorders>
            <w:shd w:fill="FFFFFF" w:val="clear"/>
          </w:tcPr>
          <w:p>
            <w:pPr>
              <w:pStyle w:val="Normal"/>
              <w:snapToGrid w:val="false"/>
              <w:spacing w:lineRule="auto" w:line="276" w:before="0" w:after="200"/>
              <w:jc w:val="center"/>
              <w:rPr>
                <w:rFonts w:ascii="Arial" w:hAnsi="Arial"/>
                <w:color w:val="auto"/>
                <w:sz w:val="16"/>
                <w:szCs w:val="16"/>
                <w:lang w:val="en-US"/>
              </w:rPr>
            </w:pPr>
            <w:r>
              <w:rPr>
                <w:rFonts w:ascii="Arial" w:hAnsi="Arial"/>
                <w:color w:val="auto"/>
                <w:sz w:val="16"/>
                <w:szCs w:val="16"/>
                <w:lang w:val="en-US"/>
              </w:rPr>
            </w:r>
          </w:p>
        </w:tc>
        <w:tc>
          <w:tcPr>
            <w:tcW w:w="1446" w:type="dxa"/>
            <w:tcBorders>
              <w:left w:val="single" w:sz="8" w:space="0" w:color="000000"/>
              <w:bottom w:val="single" w:sz="8" w:space="0" w:color="000000"/>
            </w:tcBorders>
            <w:shd w:fill="FFFFFF" w:val="clear"/>
          </w:tcPr>
          <w:p>
            <w:pPr>
              <w:pStyle w:val="Normal"/>
              <w:spacing w:lineRule="auto" w:line="276" w:before="0" w:after="200"/>
              <w:jc w:val="center"/>
              <w:rPr>
                <w:color w:val="auto"/>
              </w:rPr>
            </w:pPr>
            <w:r>
              <w:rPr>
                <w:rFonts w:ascii="Arial" w:hAnsi="Arial"/>
                <w:color w:val="auto"/>
                <w:sz w:val="16"/>
                <w:szCs w:val="16"/>
              </w:rPr>
              <w:t>AC, SMA, MA</w:t>
            </w:r>
          </w:p>
        </w:tc>
        <w:tc>
          <w:tcPr>
            <w:tcW w:w="2174" w:type="dxa"/>
            <w:tcBorders>
              <w:top w:val="single" w:sz="8" w:space="0" w:color="000000"/>
              <w:left w:val="single" w:sz="8" w:space="0" w:color="000000"/>
              <w:bottom w:val="single" w:sz="8" w:space="0" w:color="000000"/>
              <w:right w:val="single" w:sz="8" w:space="0" w:color="000000"/>
            </w:tcBorders>
            <w:shd w:fill="FFFFFF" w:val="clear"/>
          </w:tcPr>
          <w:p>
            <w:pPr>
              <w:pStyle w:val="Normal"/>
              <w:spacing w:lineRule="auto" w:line="276" w:before="0" w:after="200"/>
              <w:jc w:val="center"/>
              <w:rPr>
                <w:color w:val="auto"/>
              </w:rPr>
            </w:pPr>
            <w:r>
              <w:rPr>
                <w:rFonts w:ascii="Arial" w:hAnsi="Arial"/>
                <w:color w:val="auto"/>
                <w:sz w:val="16"/>
                <w:szCs w:val="16"/>
              </w:rPr>
              <w:t>PA</w:t>
            </w:r>
          </w:p>
        </w:tc>
      </w:tr>
      <w:tr>
        <w:trPr>
          <w:trHeight w:val="23" w:hRule="atLeast"/>
        </w:trPr>
        <w:tc>
          <w:tcPr>
            <w:tcW w:w="2619" w:type="dxa"/>
            <w:tcBorders>
              <w:left w:val="single" w:sz="8" w:space="0" w:color="000000"/>
              <w:bottom w:val="single" w:sz="8" w:space="0" w:color="000000"/>
            </w:tcBorders>
            <w:shd w:fill="FFFFFF" w:val="clear"/>
          </w:tcPr>
          <w:p>
            <w:pPr>
              <w:pStyle w:val="Normal"/>
              <w:spacing w:lineRule="auto" w:line="276" w:before="0" w:after="200"/>
              <w:jc w:val="center"/>
              <w:rPr>
                <w:color w:val="auto"/>
              </w:rPr>
            </w:pPr>
            <w:r>
              <w:rPr>
                <w:rFonts w:ascii="Arial" w:hAnsi="Arial"/>
                <w:color w:val="auto"/>
                <w:sz w:val="16"/>
                <w:szCs w:val="16"/>
              </w:rPr>
              <w:t>1. Sluoksnis be rišiklių</w:t>
            </w:r>
          </w:p>
        </w:tc>
        <w:tc>
          <w:tcPr>
            <w:tcW w:w="2329" w:type="dxa"/>
            <w:tcBorders>
              <w:left w:val="single" w:sz="8" w:space="0" w:color="000000"/>
              <w:bottom w:val="single" w:sz="8" w:space="0" w:color="000000"/>
            </w:tcBorders>
            <w:shd w:fill="FFFFFF" w:val="clear"/>
            <w:vAlign w:val="center"/>
          </w:tcPr>
          <w:p>
            <w:pPr>
              <w:pStyle w:val="Normal"/>
              <w:spacing w:lineRule="auto" w:line="276" w:before="0" w:after="200"/>
              <w:jc w:val="center"/>
              <w:rPr>
                <w:color w:val="auto"/>
              </w:rPr>
            </w:pPr>
            <w:r>
              <w:rPr>
                <w:rFonts w:ascii="Arial" w:hAnsi="Arial"/>
                <w:color w:val="auto"/>
                <w:sz w:val="16"/>
                <w:szCs w:val="16"/>
              </w:rPr>
              <w:t>10</w:t>
            </w:r>
          </w:p>
        </w:tc>
        <w:tc>
          <w:tcPr>
            <w:tcW w:w="1777" w:type="dxa"/>
            <w:tcBorders>
              <w:left w:val="single" w:sz="8" w:space="0" w:color="000000"/>
              <w:bottom w:val="single" w:sz="8" w:space="0" w:color="000000"/>
            </w:tcBorders>
            <w:shd w:fill="FFFFFF" w:val="clear"/>
            <w:vAlign w:val="center"/>
          </w:tcPr>
          <w:p>
            <w:pPr>
              <w:pStyle w:val="Normal"/>
              <w:spacing w:lineRule="auto" w:line="276" w:before="0" w:after="200"/>
              <w:jc w:val="center"/>
              <w:rPr>
                <w:color w:val="auto"/>
              </w:rPr>
            </w:pPr>
            <w:r>
              <w:rPr>
                <w:rFonts w:ascii="Arial" w:hAnsi="Arial"/>
                <w:color w:val="auto"/>
                <w:sz w:val="16"/>
                <w:szCs w:val="16"/>
              </w:rPr>
              <w:t>–</w:t>
            </w:r>
          </w:p>
        </w:tc>
        <w:tc>
          <w:tcPr>
            <w:tcW w:w="1446" w:type="dxa"/>
            <w:tcBorders>
              <w:left w:val="single" w:sz="8" w:space="0" w:color="000000"/>
              <w:bottom w:val="single" w:sz="8" w:space="0" w:color="000000"/>
            </w:tcBorders>
            <w:shd w:fill="FFFFFF" w:val="clear"/>
            <w:vAlign w:val="center"/>
          </w:tcPr>
          <w:p>
            <w:pPr>
              <w:pStyle w:val="Normal"/>
              <w:spacing w:lineRule="auto" w:line="276" w:before="0" w:after="200"/>
              <w:jc w:val="center"/>
              <w:rPr>
                <w:color w:val="auto"/>
              </w:rPr>
            </w:pPr>
            <w:r>
              <w:rPr>
                <w:rFonts w:ascii="Arial" w:hAnsi="Arial"/>
                <w:color w:val="auto"/>
                <w:sz w:val="16"/>
                <w:szCs w:val="16"/>
              </w:rPr>
              <w:t>–</w:t>
            </w:r>
          </w:p>
        </w:tc>
        <w:tc>
          <w:tcPr>
            <w:tcW w:w="2174" w:type="dxa"/>
            <w:tcBorders>
              <w:left w:val="single" w:sz="8" w:space="0" w:color="000000"/>
              <w:bottom w:val="single" w:sz="8" w:space="0" w:color="000000"/>
              <w:right w:val="single" w:sz="8" w:space="0" w:color="000000"/>
            </w:tcBorders>
            <w:shd w:fill="FFFFFF" w:val="clear"/>
            <w:vAlign w:val="center"/>
          </w:tcPr>
          <w:p>
            <w:pPr>
              <w:pStyle w:val="Normal"/>
              <w:spacing w:lineRule="auto" w:line="276" w:before="0" w:after="200"/>
              <w:jc w:val="center"/>
              <w:rPr>
                <w:color w:val="auto"/>
              </w:rPr>
            </w:pPr>
            <w:r>
              <w:rPr>
                <w:rFonts w:ascii="Arial" w:hAnsi="Arial"/>
                <w:color w:val="auto"/>
                <w:sz w:val="16"/>
                <w:szCs w:val="16"/>
              </w:rPr>
              <w:t>–</w:t>
            </w:r>
          </w:p>
        </w:tc>
      </w:tr>
      <w:tr>
        <w:trPr>
          <w:trHeight w:val="23" w:hRule="atLeast"/>
        </w:trPr>
        <w:tc>
          <w:tcPr>
            <w:tcW w:w="2619" w:type="dxa"/>
            <w:tcBorders>
              <w:left w:val="single" w:sz="8" w:space="0" w:color="000000"/>
              <w:bottom w:val="single" w:sz="8" w:space="0" w:color="000000"/>
            </w:tcBorders>
            <w:shd w:fill="FFFFFF" w:val="clear"/>
          </w:tcPr>
          <w:p>
            <w:pPr>
              <w:pStyle w:val="Normal"/>
              <w:spacing w:lineRule="auto" w:line="276" w:before="0" w:after="200"/>
              <w:jc w:val="center"/>
              <w:rPr>
                <w:color w:val="auto"/>
              </w:rPr>
            </w:pPr>
            <w:r>
              <w:rPr>
                <w:rFonts w:ascii="Arial" w:hAnsi="Arial"/>
                <w:color w:val="auto"/>
                <w:sz w:val="16"/>
                <w:szCs w:val="16"/>
              </w:rPr>
              <w:t>2. Rišikliais surištas pagrindo sluoksnis, asfalto pagrindo sluoksnis</w:t>
            </w:r>
          </w:p>
        </w:tc>
        <w:tc>
          <w:tcPr>
            <w:tcW w:w="2329" w:type="dxa"/>
            <w:tcBorders>
              <w:left w:val="single" w:sz="8" w:space="0" w:color="000000"/>
              <w:bottom w:val="single" w:sz="8" w:space="0" w:color="000000"/>
            </w:tcBorders>
            <w:shd w:fill="FFFFFF" w:val="clear"/>
            <w:vAlign w:val="center"/>
          </w:tcPr>
          <w:p>
            <w:pPr>
              <w:pStyle w:val="Normal"/>
              <w:spacing w:lineRule="auto" w:line="276" w:before="0" w:after="200"/>
              <w:jc w:val="center"/>
              <w:rPr>
                <w:color w:val="auto"/>
              </w:rPr>
            </w:pPr>
            <w:r>
              <w:rPr>
                <w:rFonts w:ascii="Arial" w:hAnsi="Arial"/>
                <w:color w:val="auto"/>
                <w:sz w:val="16"/>
                <w:szCs w:val="16"/>
              </w:rPr>
              <w:t>10</w:t>
            </w:r>
          </w:p>
        </w:tc>
        <w:tc>
          <w:tcPr>
            <w:tcW w:w="1777" w:type="dxa"/>
            <w:tcBorders>
              <w:left w:val="single" w:sz="8" w:space="0" w:color="000000"/>
              <w:bottom w:val="single" w:sz="8" w:space="0" w:color="000000"/>
            </w:tcBorders>
            <w:shd w:fill="FFFFFF" w:val="clear"/>
            <w:vAlign w:val="center"/>
          </w:tcPr>
          <w:p>
            <w:pPr>
              <w:pStyle w:val="Normal"/>
              <w:spacing w:lineRule="auto" w:line="276" w:before="0" w:after="200"/>
              <w:jc w:val="center"/>
              <w:rPr>
                <w:color w:val="auto"/>
              </w:rPr>
            </w:pPr>
            <w:r>
              <w:rPr>
                <w:rFonts w:ascii="Arial" w:hAnsi="Arial"/>
                <w:color w:val="auto"/>
                <w:sz w:val="16"/>
                <w:szCs w:val="16"/>
              </w:rPr>
              <w:t>6</w:t>
            </w:r>
          </w:p>
        </w:tc>
        <w:tc>
          <w:tcPr>
            <w:tcW w:w="1446" w:type="dxa"/>
            <w:tcBorders>
              <w:left w:val="single" w:sz="8" w:space="0" w:color="000000"/>
              <w:bottom w:val="single" w:sz="8" w:space="0" w:color="000000"/>
            </w:tcBorders>
            <w:shd w:fill="FFFFFF" w:val="clear"/>
            <w:vAlign w:val="center"/>
          </w:tcPr>
          <w:p>
            <w:pPr>
              <w:pStyle w:val="Normal"/>
              <w:spacing w:lineRule="auto" w:line="276" w:before="0" w:after="200"/>
              <w:jc w:val="center"/>
              <w:rPr>
                <w:color w:val="auto"/>
              </w:rPr>
            </w:pPr>
            <w:r>
              <w:rPr>
                <w:rFonts w:ascii="Arial" w:hAnsi="Arial"/>
                <w:color w:val="auto"/>
                <w:sz w:val="16"/>
                <w:szCs w:val="16"/>
              </w:rPr>
              <w:t>6</w:t>
            </w:r>
          </w:p>
        </w:tc>
        <w:tc>
          <w:tcPr>
            <w:tcW w:w="2174" w:type="dxa"/>
            <w:tcBorders>
              <w:left w:val="single" w:sz="8" w:space="0" w:color="000000"/>
              <w:bottom w:val="single" w:sz="8" w:space="0" w:color="000000"/>
              <w:right w:val="single" w:sz="8" w:space="0" w:color="000000"/>
            </w:tcBorders>
            <w:shd w:fill="FFFFFF" w:val="clear"/>
            <w:vAlign w:val="center"/>
          </w:tcPr>
          <w:p>
            <w:pPr>
              <w:pStyle w:val="Normal"/>
              <w:spacing w:lineRule="auto" w:line="276" w:before="0" w:after="200"/>
              <w:jc w:val="center"/>
              <w:rPr>
                <w:color w:val="auto"/>
              </w:rPr>
            </w:pPr>
            <w:r>
              <w:rPr>
                <w:rFonts w:ascii="Arial" w:hAnsi="Arial"/>
                <w:color w:val="auto"/>
                <w:sz w:val="16"/>
                <w:szCs w:val="16"/>
              </w:rPr>
              <w:t>–</w:t>
            </w:r>
          </w:p>
        </w:tc>
      </w:tr>
      <w:tr>
        <w:trPr>
          <w:trHeight w:val="23" w:hRule="atLeast"/>
        </w:trPr>
        <w:tc>
          <w:tcPr>
            <w:tcW w:w="2619" w:type="dxa"/>
            <w:tcBorders>
              <w:left w:val="single" w:sz="8" w:space="0" w:color="000000"/>
              <w:bottom w:val="single" w:sz="8" w:space="0" w:color="000000"/>
            </w:tcBorders>
            <w:shd w:fill="FFFFFF" w:val="clear"/>
          </w:tcPr>
          <w:p>
            <w:pPr>
              <w:pStyle w:val="Normal"/>
              <w:spacing w:lineRule="auto" w:line="276" w:before="0" w:after="200"/>
              <w:jc w:val="center"/>
              <w:rPr>
                <w:color w:val="auto"/>
              </w:rPr>
            </w:pPr>
            <w:r>
              <w:rPr>
                <w:rFonts w:ascii="Arial" w:hAnsi="Arial"/>
                <w:color w:val="auto"/>
                <w:sz w:val="16"/>
                <w:szCs w:val="16"/>
              </w:rPr>
              <w:t>3. Asfalto apatinis sluoksnis</w:t>
            </w:r>
          </w:p>
        </w:tc>
        <w:tc>
          <w:tcPr>
            <w:tcW w:w="2329" w:type="dxa"/>
            <w:tcBorders>
              <w:left w:val="single" w:sz="8" w:space="0" w:color="000000"/>
              <w:bottom w:val="single" w:sz="8" w:space="0" w:color="000000"/>
            </w:tcBorders>
            <w:shd w:fill="FFFFFF" w:val="clear"/>
            <w:vAlign w:val="center"/>
          </w:tcPr>
          <w:p>
            <w:pPr>
              <w:pStyle w:val="Normal"/>
              <w:spacing w:lineRule="auto" w:line="276" w:before="0" w:after="200"/>
              <w:jc w:val="center"/>
              <w:rPr>
                <w:color w:val="auto"/>
              </w:rPr>
            </w:pPr>
            <w:r>
              <w:rPr>
                <w:rFonts w:ascii="Arial" w:hAnsi="Arial"/>
                <w:color w:val="auto"/>
                <w:sz w:val="16"/>
                <w:szCs w:val="16"/>
              </w:rPr>
              <w:t>–</w:t>
            </w:r>
          </w:p>
        </w:tc>
        <w:tc>
          <w:tcPr>
            <w:tcW w:w="1777" w:type="dxa"/>
            <w:tcBorders>
              <w:left w:val="single" w:sz="8" w:space="0" w:color="000000"/>
              <w:bottom w:val="single" w:sz="8" w:space="0" w:color="000000"/>
            </w:tcBorders>
            <w:shd w:fill="FFFFFF" w:val="clear"/>
            <w:vAlign w:val="center"/>
          </w:tcPr>
          <w:p>
            <w:pPr>
              <w:pStyle w:val="Normal"/>
              <w:spacing w:lineRule="auto" w:line="276" w:before="0" w:after="200"/>
              <w:jc w:val="center"/>
              <w:rPr>
                <w:color w:val="auto"/>
              </w:rPr>
            </w:pPr>
            <w:r>
              <w:rPr>
                <w:rFonts w:ascii="Arial" w:hAnsi="Arial"/>
                <w:color w:val="auto"/>
                <w:sz w:val="16"/>
                <w:szCs w:val="16"/>
              </w:rPr>
              <w:t>–</w:t>
            </w:r>
          </w:p>
        </w:tc>
        <w:tc>
          <w:tcPr>
            <w:tcW w:w="1446" w:type="dxa"/>
            <w:tcBorders>
              <w:left w:val="single" w:sz="8" w:space="0" w:color="000000"/>
              <w:bottom w:val="single" w:sz="8" w:space="0" w:color="000000"/>
            </w:tcBorders>
            <w:shd w:fill="FFFFFF" w:val="clear"/>
            <w:vAlign w:val="center"/>
          </w:tcPr>
          <w:p>
            <w:pPr>
              <w:pStyle w:val="Normal"/>
              <w:spacing w:lineRule="auto" w:line="276" w:before="0" w:after="200"/>
              <w:jc w:val="center"/>
              <w:rPr>
                <w:color w:val="auto"/>
              </w:rPr>
            </w:pPr>
            <w:r>
              <w:rPr>
                <w:rFonts w:ascii="Arial" w:hAnsi="Arial"/>
                <w:color w:val="auto"/>
                <w:sz w:val="16"/>
                <w:szCs w:val="16"/>
              </w:rPr>
              <w:t>4</w:t>
            </w:r>
          </w:p>
        </w:tc>
        <w:tc>
          <w:tcPr>
            <w:tcW w:w="2174" w:type="dxa"/>
            <w:tcBorders>
              <w:left w:val="single" w:sz="8" w:space="0" w:color="000000"/>
              <w:bottom w:val="single" w:sz="8" w:space="0" w:color="000000"/>
              <w:right w:val="single" w:sz="8" w:space="0" w:color="000000"/>
            </w:tcBorders>
            <w:shd w:fill="FFFFFF" w:val="clear"/>
            <w:vAlign w:val="center"/>
          </w:tcPr>
          <w:p>
            <w:pPr>
              <w:pStyle w:val="Normal"/>
              <w:spacing w:lineRule="auto" w:line="276" w:before="0" w:after="200"/>
              <w:jc w:val="center"/>
              <w:rPr>
                <w:color w:val="auto"/>
              </w:rPr>
            </w:pPr>
            <w:r>
              <w:rPr>
                <w:rFonts w:ascii="Arial" w:hAnsi="Arial"/>
                <w:color w:val="auto"/>
                <w:sz w:val="16"/>
                <w:szCs w:val="16"/>
              </w:rPr>
              <w:t>3</w:t>
            </w:r>
          </w:p>
        </w:tc>
      </w:tr>
    </w:tbl>
    <w:p>
      <w:pPr>
        <w:pStyle w:val="Normal"/>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Dangos nelygumai, išmatuoti pagal IRI reikalavimus, neturi viršyti 3,0 m/km.</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Pakloto sluoksnio nuokrypiai nuo projektinio pločio neturi būti didesni kaip –5 cm ir +5 cm. Briaunos linija turi būti vizualiai sklandi ir tiesi, o kreivėse – taisyklinga.</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Asfalto pagrindo sluoksnio viršaus aukščių nuokrypiai nuo projektinių aukščių neturi būti didesni kaip ±2,0 cm. Asfalto sluoksniams po betono danga taikomi griežtesni reikalavimai, kurie nurodomi papildomose techninėse specifikacijose.</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Asfalto dangos skersinio nuolydžio nuokrypis nuo reikalaujamo (projektinio) neturi būti didesnis negu ±0,5%. Greitam eismui skirtų važiuojamųjų dalių pereinamuosiuose ruožuose, kurių išilginis nuolydis yra mažesnis negu 0,5%, o skersinis nuolydis mažesnis negu 1,5%, asfalto dangos skersinio nuolydžio nuokrypis nuo reikalaujamo (projektinio) mažėjimo linkme neturi būti didesnis negu 0,3%.</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Pakloto sluoksnio mažesnio storio nuokrypis negali viršyti 4 lentelėje nurodytų ribinių verčių.</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Nustatant sluoksnio storio vidurkio vertę vertinamas visas dangos sluoksnio plotas, darbų kiekio žiniaraštyje (sutartyje) pateiktas atskira pozicija. Tačiau užsakovas (statytojas) ar techninis prižiūrėtojas, vykdydamas kontrolę, turi teisę vertinti ir atskiras ploto dalis.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Sluoksnio storis yra viso ploto atskirųjų sluoksnio storio verčių aritmetinis vidurkis.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Sluoksnių storio atskirosios ir vidurkio vertės negali viršyti nuokrypių ribinių verčių, nurodytų 4 lentelėje.</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Rato sukibimo su danga koeficientas (pagrindinis rodiklis) turi būti ne mažesnis kaip šios ribinės vertės: – magistralinių kelių – 0,40; – krašto, rajoninių kelių – 0,35.</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Dangos paviršiaus makrotekstūros gylis (papildomas rodiklis), taikant tūrinės dėmės metodą pagal LST EN 13036-1, turi būti ne mažesnis kaip šios ribinės vertės: – magistralinių kelių – 0,35; – krašto, rajoninių kelių – 0,30.</w:t>
      </w:r>
    </w:p>
    <w:p>
      <w:pPr>
        <w:pStyle w:val="Caption"/>
        <w:keepNext w:val="true"/>
        <w:rPr>
          <w:color w:val="auto"/>
        </w:rPr>
      </w:pPr>
      <w:r>
        <w:rPr>
          <w:color w:val="auto"/>
        </w:rPr>
        <w:t>2 lentelė. Sluoksnio storio ar sluoksnio svorio nuokrypių ribinės vertės</w:t>
      </w:r>
    </w:p>
    <w:tbl>
      <w:tblPr>
        <w:tblW w:w="10386" w:type="dxa"/>
        <w:jc w:val="left"/>
        <w:tblInd w:w="-194" w:type="dxa"/>
        <w:tblLayout w:type="fixed"/>
        <w:tblCellMar>
          <w:top w:w="0" w:type="dxa"/>
          <w:left w:w="10" w:type="dxa"/>
          <w:bottom w:w="0" w:type="dxa"/>
          <w:right w:w="0" w:type="dxa"/>
        </w:tblCellMar>
      </w:tblPr>
      <w:tblGrid>
        <w:gridCol w:w="2700"/>
        <w:gridCol w:w="1635"/>
        <w:gridCol w:w="1455"/>
        <w:gridCol w:w="1003"/>
        <w:gridCol w:w="992"/>
        <w:gridCol w:w="996"/>
        <w:gridCol w:w="1605"/>
      </w:tblGrid>
      <w:tr>
        <w:trPr>
          <w:trHeight w:val="135" w:hRule="atLeast"/>
        </w:trPr>
        <w:tc>
          <w:tcPr>
            <w:tcW w:w="2700" w:type="dxa"/>
            <w:vMerge w:val="restart"/>
            <w:tcBorders>
              <w:top w:val="single" w:sz="8" w:space="0" w:color="000000"/>
              <w:left w:val="single" w:sz="8" w:space="0" w:color="000000"/>
              <w:bottom w:val="single" w:sz="8" w:space="0" w:color="000000"/>
            </w:tcBorders>
            <w:vAlign w:val="center"/>
          </w:tcPr>
          <w:p>
            <w:pPr>
              <w:pStyle w:val="Normal"/>
              <w:spacing w:lineRule="auto" w:line="276" w:before="0" w:after="200"/>
              <w:jc w:val="center"/>
              <w:rPr>
                <w:color w:val="auto"/>
              </w:rPr>
            </w:pPr>
            <w:r>
              <w:rPr>
                <w:rFonts w:ascii="Arial" w:hAnsi="Arial"/>
                <w:color w:val="auto"/>
                <w:sz w:val="16"/>
                <w:szCs w:val="16"/>
              </w:rPr>
              <w:t>Taikymas</w:t>
            </w:r>
          </w:p>
        </w:tc>
        <w:tc>
          <w:tcPr>
            <w:tcW w:w="7686" w:type="dxa"/>
            <w:gridSpan w:val="6"/>
            <w:tcBorders>
              <w:top w:val="single" w:sz="8" w:space="0" w:color="000000"/>
              <w:left w:val="single" w:sz="8" w:space="0" w:color="000000"/>
              <w:bottom w:val="single" w:sz="8" w:space="0" w:color="000000"/>
              <w:right w:val="single" w:sz="8" w:space="0" w:color="000000"/>
            </w:tcBorders>
            <w:vAlign w:val="center"/>
          </w:tcPr>
          <w:p>
            <w:pPr>
              <w:pStyle w:val="Normal"/>
              <w:spacing w:lineRule="auto" w:line="276" w:before="0" w:after="200"/>
              <w:jc w:val="center"/>
              <w:rPr>
                <w:color w:val="auto"/>
              </w:rPr>
            </w:pPr>
            <w:r>
              <w:rPr>
                <w:rFonts w:ascii="Arial" w:hAnsi="Arial"/>
                <w:color w:val="auto"/>
                <w:sz w:val="16"/>
                <w:szCs w:val="16"/>
              </w:rPr>
              <w:t>Pakloto mažesnio sluoksnio storio nuokrypio ribinės vertės, cm</w:t>
            </w:r>
          </w:p>
        </w:tc>
      </w:tr>
      <w:tr>
        <w:trPr>
          <w:trHeight w:val="1314" w:hRule="atLeast"/>
        </w:trPr>
        <w:tc>
          <w:tcPr>
            <w:tcW w:w="2700" w:type="dxa"/>
            <w:vMerge w:val="continue"/>
            <w:tcBorders>
              <w:top w:val="single" w:sz="8" w:space="0" w:color="000000"/>
              <w:left w:val="single" w:sz="8" w:space="0" w:color="000000"/>
              <w:bottom w:val="single" w:sz="8" w:space="0" w:color="000000"/>
            </w:tcBorders>
            <w:vAlign w:val="center"/>
          </w:tcPr>
          <w:p>
            <w:pPr>
              <w:pStyle w:val="Normal"/>
              <w:snapToGrid w:val="false"/>
              <w:spacing w:lineRule="auto" w:line="276" w:before="0" w:after="200"/>
              <w:jc w:val="center"/>
              <w:rPr>
                <w:rFonts w:ascii="Arial" w:hAnsi="Arial"/>
                <w:color w:val="auto"/>
                <w:sz w:val="16"/>
                <w:szCs w:val="16"/>
                <w:lang w:val="en-US"/>
              </w:rPr>
            </w:pPr>
            <w:r>
              <w:rPr>
                <w:rFonts w:ascii="Arial" w:hAnsi="Arial"/>
                <w:color w:val="auto"/>
                <w:sz w:val="16"/>
                <w:szCs w:val="16"/>
                <w:lang w:val="en-US"/>
              </w:rPr>
            </w:r>
          </w:p>
        </w:tc>
        <w:tc>
          <w:tcPr>
            <w:tcW w:w="1635" w:type="dxa"/>
            <w:tcBorders>
              <w:left w:val="single" w:sz="8" w:space="0" w:color="000000"/>
              <w:bottom w:val="single" w:sz="8" w:space="0" w:color="000000"/>
            </w:tcBorders>
            <w:vAlign w:val="center"/>
          </w:tcPr>
          <w:p>
            <w:pPr>
              <w:pStyle w:val="Normal"/>
              <w:spacing w:lineRule="auto" w:line="276" w:before="0" w:after="200"/>
              <w:jc w:val="center"/>
              <w:rPr>
                <w:color w:val="auto"/>
              </w:rPr>
            </w:pPr>
            <w:r>
              <w:rPr>
                <w:rFonts w:ascii="Arial" w:hAnsi="Arial"/>
                <w:color w:val="auto"/>
                <w:sz w:val="16"/>
                <w:szCs w:val="16"/>
              </w:rPr>
              <w:t>Asfalto viršutinis sluoksnis, asfalto apatinis sluoksnis ir asfalto pagrindo sluoksnis kartu</w:t>
            </w:r>
          </w:p>
        </w:tc>
        <w:tc>
          <w:tcPr>
            <w:tcW w:w="1455" w:type="dxa"/>
            <w:tcBorders>
              <w:left w:val="single" w:sz="8" w:space="0" w:color="000000"/>
              <w:bottom w:val="single" w:sz="8" w:space="0" w:color="000000"/>
            </w:tcBorders>
            <w:vAlign w:val="center"/>
          </w:tcPr>
          <w:p>
            <w:pPr>
              <w:pStyle w:val="Normal"/>
              <w:spacing w:lineRule="auto" w:line="276" w:before="0" w:after="200"/>
              <w:jc w:val="center"/>
              <w:rPr>
                <w:color w:val="auto"/>
              </w:rPr>
            </w:pPr>
            <w:r>
              <w:rPr>
                <w:rFonts w:ascii="Arial" w:hAnsi="Arial"/>
                <w:color w:val="auto"/>
                <w:sz w:val="16"/>
                <w:szCs w:val="16"/>
              </w:rPr>
              <w:t>Asfalto viršutinis sluoksnis ir asfalto pagrindo sluoksnis kartu</w:t>
            </w:r>
          </w:p>
        </w:tc>
        <w:tc>
          <w:tcPr>
            <w:tcW w:w="1003" w:type="dxa"/>
            <w:tcBorders>
              <w:left w:val="single" w:sz="8" w:space="0" w:color="000000"/>
              <w:bottom w:val="single" w:sz="8" w:space="0" w:color="000000"/>
            </w:tcBorders>
            <w:vAlign w:val="center"/>
          </w:tcPr>
          <w:p>
            <w:pPr>
              <w:pStyle w:val="Normal"/>
              <w:spacing w:lineRule="auto" w:line="276" w:before="0" w:after="200"/>
              <w:jc w:val="center"/>
              <w:rPr>
                <w:color w:val="auto"/>
              </w:rPr>
            </w:pPr>
            <w:r>
              <w:rPr>
                <w:rFonts w:ascii="Arial" w:hAnsi="Arial"/>
                <w:color w:val="auto"/>
                <w:sz w:val="16"/>
                <w:szCs w:val="16"/>
              </w:rPr>
              <w:t>Asfalto viršutinis sluoksnis</w:t>
            </w:r>
          </w:p>
        </w:tc>
        <w:tc>
          <w:tcPr>
            <w:tcW w:w="992" w:type="dxa"/>
            <w:tcBorders>
              <w:left w:val="single" w:sz="8" w:space="0" w:color="000000"/>
              <w:bottom w:val="single" w:sz="8" w:space="0" w:color="000000"/>
            </w:tcBorders>
            <w:vAlign w:val="center"/>
          </w:tcPr>
          <w:p>
            <w:pPr>
              <w:pStyle w:val="Normal"/>
              <w:spacing w:lineRule="auto" w:line="276" w:before="0" w:after="200"/>
              <w:jc w:val="center"/>
              <w:rPr>
                <w:color w:val="auto"/>
              </w:rPr>
            </w:pPr>
            <w:r>
              <w:rPr>
                <w:rFonts w:ascii="Arial" w:hAnsi="Arial"/>
                <w:color w:val="auto"/>
                <w:sz w:val="16"/>
                <w:szCs w:val="16"/>
              </w:rPr>
              <w:t>Asfalto pagrindo-dangos sluoksnis</w:t>
            </w:r>
          </w:p>
        </w:tc>
        <w:tc>
          <w:tcPr>
            <w:tcW w:w="996" w:type="dxa"/>
            <w:tcBorders>
              <w:left w:val="single" w:sz="8" w:space="0" w:color="000000"/>
              <w:bottom w:val="single" w:sz="8" w:space="0" w:color="000000"/>
            </w:tcBorders>
            <w:vAlign w:val="center"/>
          </w:tcPr>
          <w:p>
            <w:pPr>
              <w:pStyle w:val="Normal"/>
              <w:spacing w:lineRule="auto" w:line="276" w:before="0" w:after="200"/>
              <w:jc w:val="center"/>
              <w:rPr>
                <w:color w:val="auto"/>
              </w:rPr>
            </w:pPr>
            <w:r>
              <w:rPr>
                <w:rFonts w:ascii="Arial" w:hAnsi="Arial"/>
                <w:color w:val="auto"/>
                <w:sz w:val="16"/>
                <w:szCs w:val="16"/>
              </w:rPr>
              <w:t>Asfalto apatinis sluoksnis</w:t>
            </w:r>
          </w:p>
        </w:tc>
        <w:tc>
          <w:tcPr>
            <w:tcW w:w="1605" w:type="dxa"/>
            <w:tcBorders>
              <w:left w:val="single" w:sz="8" w:space="0" w:color="000000"/>
              <w:bottom w:val="single" w:sz="8" w:space="0" w:color="000000"/>
              <w:right w:val="single" w:sz="8" w:space="0" w:color="000000"/>
            </w:tcBorders>
            <w:vAlign w:val="center"/>
          </w:tcPr>
          <w:p>
            <w:pPr>
              <w:pStyle w:val="Normal"/>
              <w:spacing w:lineRule="auto" w:line="276" w:before="0" w:after="200"/>
              <w:jc w:val="center"/>
              <w:rPr>
                <w:color w:val="auto"/>
              </w:rPr>
            </w:pPr>
            <w:r>
              <w:rPr>
                <w:rFonts w:ascii="Arial" w:hAnsi="Arial"/>
                <w:color w:val="auto"/>
                <w:sz w:val="16"/>
                <w:szCs w:val="16"/>
              </w:rPr>
              <w:t>Asfalto pagrindo sluoksnis</w:t>
            </w:r>
          </w:p>
        </w:tc>
      </w:tr>
      <w:tr>
        <w:trPr/>
        <w:tc>
          <w:tcPr>
            <w:tcW w:w="2700" w:type="dxa"/>
            <w:tcBorders>
              <w:left w:val="single" w:sz="8" w:space="0" w:color="000000"/>
            </w:tcBorders>
            <w:vAlign w:val="center"/>
          </w:tcPr>
          <w:p>
            <w:pPr>
              <w:pStyle w:val="Normal"/>
              <w:spacing w:lineRule="auto" w:line="276" w:before="0" w:after="200"/>
              <w:jc w:val="center"/>
              <w:rPr>
                <w:color w:val="auto"/>
              </w:rPr>
            </w:pPr>
            <w:r>
              <w:rPr>
                <w:rFonts w:ascii="Arial" w:hAnsi="Arial"/>
                <w:color w:val="auto"/>
                <w:sz w:val="16"/>
                <w:szCs w:val="16"/>
              </w:rPr>
              <w:t>1. Sluoksnio storio</w:t>
            </w:r>
            <w:r>
              <w:rPr>
                <w:rFonts w:ascii="Arial" w:hAnsi="Arial"/>
                <w:color w:val="auto"/>
                <w:sz w:val="16"/>
                <w:szCs w:val="16"/>
                <w:vertAlign w:val="superscript"/>
              </w:rPr>
              <w:t>1)</w:t>
            </w:r>
            <w:r>
              <w:rPr>
                <w:rFonts w:ascii="Arial" w:hAnsi="Arial"/>
                <w:color w:val="auto"/>
                <w:sz w:val="16"/>
                <w:szCs w:val="16"/>
              </w:rPr>
              <w:t> aritmetinio vidurkio vertei</w:t>
            </w:r>
          </w:p>
        </w:tc>
        <w:tc>
          <w:tcPr>
            <w:tcW w:w="1635" w:type="dxa"/>
            <w:tcBorders>
              <w:left w:val="single" w:sz="8" w:space="0" w:color="000000"/>
              <w:bottom w:val="single" w:sz="8" w:space="0" w:color="000000"/>
            </w:tcBorders>
            <w:vAlign w:val="center"/>
          </w:tcPr>
          <w:p>
            <w:pPr>
              <w:pStyle w:val="Normal"/>
              <w:spacing w:lineRule="auto" w:line="276" w:before="0" w:after="200"/>
              <w:jc w:val="center"/>
              <w:rPr>
                <w:color w:val="auto"/>
              </w:rPr>
            </w:pPr>
            <w:r>
              <w:rPr>
                <w:rFonts w:ascii="Arial" w:hAnsi="Arial"/>
                <w:color w:val="auto"/>
                <w:sz w:val="16"/>
                <w:szCs w:val="16"/>
              </w:rPr>
              <w:t>0,4</w:t>
            </w:r>
          </w:p>
        </w:tc>
        <w:tc>
          <w:tcPr>
            <w:tcW w:w="1455" w:type="dxa"/>
            <w:tcBorders>
              <w:left w:val="single" w:sz="8" w:space="0" w:color="000000"/>
              <w:bottom w:val="single" w:sz="8" w:space="0" w:color="000000"/>
            </w:tcBorders>
            <w:vAlign w:val="center"/>
          </w:tcPr>
          <w:p>
            <w:pPr>
              <w:pStyle w:val="Normal"/>
              <w:spacing w:lineRule="auto" w:line="276" w:before="0" w:after="200"/>
              <w:jc w:val="center"/>
              <w:rPr>
                <w:color w:val="auto"/>
              </w:rPr>
            </w:pPr>
            <w:r>
              <w:rPr>
                <w:rFonts w:ascii="Arial" w:hAnsi="Arial"/>
                <w:color w:val="auto"/>
                <w:sz w:val="16"/>
                <w:szCs w:val="16"/>
              </w:rPr>
              <w:t>0,4</w:t>
            </w:r>
          </w:p>
        </w:tc>
        <w:tc>
          <w:tcPr>
            <w:tcW w:w="1003" w:type="dxa"/>
            <w:tcBorders>
              <w:left w:val="single" w:sz="8" w:space="0" w:color="000000"/>
              <w:bottom w:val="single" w:sz="8" w:space="0" w:color="000000"/>
            </w:tcBorders>
            <w:vAlign w:val="center"/>
          </w:tcPr>
          <w:p>
            <w:pPr>
              <w:pStyle w:val="Normal"/>
              <w:spacing w:lineRule="auto" w:line="276" w:before="0" w:after="200"/>
              <w:jc w:val="center"/>
              <w:rPr>
                <w:color w:val="auto"/>
              </w:rPr>
            </w:pPr>
            <w:r>
              <w:rPr>
                <w:rFonts w:ascii="Arial" w:hAnsi="Arial"/>
                <w:color w:val="auto"/>
                <w:sz w:val="16"/>
                <w:szCs w:val="16"/>
              </w:rPr>
              <w:t>0,4</w:t>
            </w:r>
          </w:p>
        </w:tc>
        <w:tc>
          <w:tcPr>
            <w:tcW w:w="992" w:type="dxa"/>
            <w:tcBorders>
              <w:left w:val="single" w:sz="8" w:space="0" w:color="000000"/>
              <w:bottom w:val="single" w:sz="8" w:space="0" w:color="000000"/>
            </w:tcBorders>
            <w:vAlign w:val="center"/>
          </w:tcPr>
          <w:p>
            <w:pPr>
              <w:pStyle w:val="Normal"/>
              <w:spacing w:lineRule="auto" w:line="276" w:before="0" w:after="200"/>
              <w:jc w:val="center"/>
              <w:rPr>
                <w:color w:val="auto"/>
              </w:rPr>
            </w:pPr>
            <w:r>
              <w:rPr>
                <w:rFonts w:ascii="Arial" w:hAnsi="Arial"/>
                <w:color w:val="auto"/>
                <w:sz w:val="16"/>
                <w:szCs w:val="16"/>
              </w:rPr>
              <w:t>0,4</w:t>
            </w:r>
          </w:p>
        </w:tc>
        <w:tc>
          <w:tcPr>
            <w:tcW w:w="996" w:type="dxa"/>
            <w:tcBorders>
              <w:left w:val="single" w:sz="8" w:space="0" w:color="000000"/>
              <w:bottom w:val="single" w:sz="8" w:space="0" w:color="000000"/>
            </w:tcBorders>
            <w:vAlign w:val="center"/>
          </w:tcPr>
          <w:p>
            <w:pPr>
              <w:pStyle w:val="Normal"/>
              <w:spacing w:lineRule="auto" w:line="276" w:before="0" w:after="200"/>
              <w:jc w:val="center"/>
              <w:rPr>
                <w:color w:val="auto"/>
              </w:rPr>
            </w:pPr>
            <w:r>
              <w:rPr>
                <w:rFonts w:ascii="Arial" w:hAnsi="Arial"/>
                <w:color w:val="auto"/>
                <w:sz w:val="16"/>
                <w:szCs w:val="16"/>
              </w:rPr>
              <w:t>0,4</w:t>
            </w:r>
          </w:p>
        </w:tc>
        <w:tc>
          <w:tcPr>
            <w:tcW w:w="1605" w:type="dxa"/>
            <w:tcBorders>
              <w:left w:val="single" w:sz="8" w:space="0" w:color="000000"/>
              <w:bottom w:val="single" w:sz="8" w:space="0" w:color="000000"/>
              <w:right w:val="single" w:sz="8" w:space="0" w:color="000000"/>
            </w:tcBorders>
            <w:vAlign w:val="center"/>
          </w:tcPr>
          <w:p>
            <w:pPr>
              <w:pStyle w:val="Normal"/>
              <w:spacing w:lineRule="auto" w:line="276" w:before="0" w:after="200"/>
              <w:jc w:val="center"/>
              <w:rPr>
                <w:color w:val="auto"/>
              </w:rPr>
            </w:pPr>
            <w:r>
              <w:rPr>
                <w:rFonts w:ascii="Arial" w:hAnsi="Arial"/>
                <w:color w:val="auto"/>
                <w:sz w:val="16"/>
                <w:szCs w:val="16"/>
              </w:rPr>
              <w:t>0,4</w:t>
            </w:r>
          </w:p>
        </w:tc>
      </w:tr>
      <w:tr>
        <w:trPr>
          <w:trHeight w:val="204" w:hRule="atLeast"/>
        </w:trPr>
        <w:tc>
          <w:tcPr>
            <w:tcW w:w="2700" w:type="dxa"/>
            <w:tcBorders>
              <w:top w:val="single" w:sz="8" w:space="0" w:color="000000"/>
              <w:left w:val="single" w:sz="8" w:space="0" w:color="000000"/>
              <w:bottom w:val="single" w:sz="8" w:space="0" w:color="000000"/>
            </w:tcBorders>
            <w:vAlign w:val="center"/>
          </w:tcPr>
          <w:p>
            <w:pPr>
              <w:pStyle w:val="Normal"/>
              <w:spacing w:lineRule="auto" w:line="276" w:before="0" w:after="200"/>
              <w:jc w:val="center"/>
              <w:rPr>
                <w:color w:val="auto"/>
              </w:rPr>
            </w:pPr>
            <w:r>
              <w:rPr>
                <w:rFonts w:ascii="Arial" w:hAnsi="Arial"/>
                <w:color w:val="auto"/>
                <w:sz w:val="16"/>
                <w:szCs w:val="16"/>
              </w:rPr>
              <w:t>2. Sluoksnio storio atskirajai vertei</w:t>
            </w:r>
          </w:p>
        </w:tc>
        <w:tc>
          <w:tcPr>
            <w:tcW w:w="1635" w:type="dxa"/>
            <w:tcBorders>
              <w:left w:val="single" w:sz="8" w:space="0" w:color="000000"/>
              <w:bottom w:val="single" w:sz="8" w:space="0" w:color="000000"/>
            </w:tcBorders>
            <w:vAlign w:val="center"/>
          </w:tcPr>
          <w:p>
            <w:pPr>
              <w:pStyle w:val="Normal"/>
              <w:spacing w:lineRule="auto" w:line="276" w:before="0" w:after="200"/>
              <w:jc w:val="center"/>
              <w:rPr>
                <w:color w:val="auto"/>
              </w:rPr>
            </w:pPr>
            <w:r>
              <w:rPr>
                <w:rFonts w:ascii="Arial" w:hAnsi="Arial"/>
                <w:color w:val="auto"/>
                <w:sz w:val="16"/>
                <w:szCs w:val="16"/>
              </w:rPr>
              <w:t>0,5</w:t>
            </w:r>
          </w:p>
        </w:tc>
        <w:tc>
          <w:tcPr>
            <w:tcW w:w="1455" w:type="dxa"/>
            <w:tcBorders>
              <w:left w:val="single" w:sz="8" w:space="0" w:color="000000"/>
              <w:bottom w:val="single" w:sz="8" w:space="0" w:color="000000"/>
            </w:tcBorders>
            <w:vAlign w:val="center"/>
          </w:tcPr>
          <w:p>
            <w:pPr>
              <w:pStyle w:val="Normal"/>
              <w:spacing w:lineRule="auto" w:line="276" w:before="0" w:after="200"/>
              <w:jc w:val="center"/>
              <w:rPr>
                <w:color w:val="auto"/>
              </w:rPr>
            </w:pPr>
            <w:r>
              <w:rPr>
                <w:rFonts w:ascii="Arial" w:hAnsi="Arial"/>
                <w:color w:val="auto"/>
                <w:sz w:val="16"/>
                <w:szCs w:val="16"/>
              </w:rPr>
              <w:t>0,5</w:t>
            </w:r>
          </w:p>
        </w:tc>
        <w:tc>
          <w:tcPr>
            <w:tcW w:w="1003" w:type="dxa"/>
            <w:tcBorders>
              <w:left w:val="single" w:sz="8" w:space="0" w:color="000000"/>
              <w:bottom w:val="single" w:sz="8" w:space="0" w:color="000000"/>
            </w:tcBorders>
            <w:vAlign w:val="center"/>
          </w:tcPr>
          <w:p>
            <w:pPr>
              <w:pStyle w:val="Normal"/>
              <w:spacing w:lineRule="auto" w:line="276" w:before="0" w:after="200"/>
              <w:jc w:val="center"/>
              <w:rPr>
                <w:color w:val="auto"/>
              </w:rPr>
            </w:pPr>
            <w:r>
              <w:rPr>
                <w:rFonts w:ascii="Arial" w:hAnsi="Arial"/>
                <w:color w:val="auto"/>
                <w:sz w:val="16"/>
                <w:szCs w:val="16"/>
              </w:rPr>
              <w:t>0,5</w:t>
            </w:r>
          </w:p>
        </w:tc>
        <w:tc>
          <w:tcPr>
            <w:tcW w:w="992" w:type="dxa"/>
            <w:tcBorders>
              <w:left w:val="single" w:sz="8" w:space="0" w:color="000000"/>
              <w:bottom w:val="single" w:sz="8" w:space="0" w:color="000000"/>
            </w:tcBorders>
            <w:vAlign w:val="center"/>
          </w:tcPr>
          <w:p>
            <w:pPr>
              <w:pStyle w:val="Normal"/>
              <w:spacing w:lineRule="auto" w:line="276" w:before="0" w:after="200"/>
              <w:jc w:val="center"/>
              <w:rPr>
                <w:color w:val="auto"/>
              </w:rPr>
            </w:pPr>
            <w:r>
              <w:rPr>
                <w:rFonts w:ascii="Arial" w:hAnsi="Arial"/>
                <w:color w:val="auto"/>
                <w:sz w:val="16"/>
                <w:szCs w:val="16"/>
              </w:rPr>
              <w:t>0,5</w:t>
            </w:r>
          </w:p>
        </w:tc>
        <w:tc>
          <w:tcPr>
            <w:tcW w:w="996" w:type="dxa"/>
            <w:tcBorders>
              <w:left w:val="single" w:sz="8" w:space="0" w:color="000000"/>
              <w:bottom w:val="single" w:sz="8" w:space="0" w:color="000000"/>
            </w:tcBorders>
            <w:vAlign w:val="center"/>
          </w:tcPr>
          <w:p>
            <w:pPr>
              <w:pStyle w:val="Normal"/>
              <w:spacing w:lineRule="auto" w:line="276" w:before="0" w:after="200"/>
              <w:jc w:val="center"/>
              <w:rPr>
                <w:color w:val="auto"/>
              </w:rPr>
            </w:pPr>
            <w:r>
              <w:rPr>
                <w:rFonts w:ascii="Arial" w:hAnsi="Arial"/>
                <w:color w:val="auto"/>
                <w:sz w:val="16"/>
                <w:szCs w:val="16"/>
              </w:rPr>
              <w:t>0,5</w:t>
            </w:r>
          </w:p>
        </w:tc>
        <w:tc>
          <w:tcPr>
            <w:tcW w:w="1605" w:type="dxa"/>
            <w:tcBorders>
              <w:left w:val="single" w:sz="8" w:space="0" w:color="000000"/>
              <w:bottom w:val="single" w:sz="8" w:space="0" w:color="000000"/>
              <w:right w:val="single" w:sz="8" w:space="0" w:color="000000"/>
            </w:tcBorders>
            <w:vAlign w:val="center"/>
          </w:tcPr>
          <w:p>
            <w:pPr>
              <w:pStyle w:val="Normal"/>
              <w:spacing w:lineRule="auto" w:line="276" w:before="0" w:after="200"/>
              <w:jc w:val="center"/>
              <w:rPr>
                <w:color w:val="auto"/>
              </w:rPr>
            </w:pPr>
            <w:r>
              <w:rPr>
                <w:rFonts w:ascii="Arial" w:hAnsi="Arial"/>
                <w:color w:val="auto"/>
                <w:sz w:val="16"/>
                <w:szCs w:val="16"/>
              </w:rPr>
              <w:t>0,5</w:t>
            </w:r>
          </w:p>
        </w:tc>
      </w:tr>
      <w:tr>
        <w:trPr>
          <w:trHeight w:val="571" w:hRule="atLeast"/>
        </w:trPr>
        <w:tc>
          <w:tcPr>
            <w:tcW w:w="10386" w:type="dxa"/>
            <w:gridSpan w:val="7"/>
            <w:tcBorders>
              <w:left w:val="single" w:sz="8" w:space="0" w:color="000000"/>
              <w:bottom w:val="single" w:sz="8" w:space="0" w:color="000000"/>
              <w:right w:val="single" w:sz="8" w:space="0" w:color="000000"/>
            </w:tcBorders>
            <w:tcMar>
              <w:left w:w="28" w:type="dxa"/>
              <w:right w:w="28" w:type="dxa"/>
            </w:tcMar>
            <w:vAlign w:val="center"/>
          </w:tcPr>
          <w:p>
            <w:pPr>
              <w:pStyle w:val="Normal"/>
              <w:spacing w:lineRule="auto" w:line="276" w:before="0" w:after="200"/>
              <w:jc w:val="center"/>
              <w:rPr>
                <w:color w:val="auto"/>
              </w:rPr>
            </w:pPr>
            <w:r>
              <w:rPr>
                <w:rFonts w:ascii="Arial" w:hAnsi="Arial"/>
                <w:color w:val="auto"/>
                <w:sz w:val="16"/>
                <w:szCs w:val="16"/>
                <w:vertAlign w:val="superscript"/>
              </w:rPr>
              <w:t>1)</w:t>
            </w:r>
            <w:r>
              <w:rPr>
                <w:rFonts w:ascii="Arial" w:hAnsi="Arial"/>
                <w:color w:val="auto"/>
                <w:sz w:val="16"/>
                <w:szCs w:val="16"/>
              </w:rPr>
              <w:t> Skaičiuojant paklotų asfalto pagrindo, asfalto pagrindo-dangos, asfalto apatinio ir asfalto viršutinio sluoksnio storio vidurkio vertes, nepriimamos tokios pakloto sluoksnio storio atskirosios vertės, kurios daugiau kaip 0,5 cm didesnės už projekte (sutartyje) nurodytas. Tokiu atveju skaičiavimui naudojama sluoksnio storio atskiroji vertė, kurią sudaro projekte (sutartyje) nurodyto sluoksnio storio ir 0,5 cm storio suma.“</w:t>
            </w:r>
          </w:p>
        </w:tc>
      </w:tr>
    </w:tbl>
    <w:p>
      <w:pPr>
        <w:pStyle w:val="Normal"/>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Standartai:</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LST 1419:1995 Automobilių kelių asfaltbetonis ir jo mišiniai. Reikalavimai aktyvintiems mineraliniams milteliams.</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LST 1419:1995/1K:1996 Automobilių kelių asfaltbetonis ir jo mišiniai. Reikalavimai aktyvintiems mineraliniams milteliams.</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LST EN 1430:2009 Bitumas ir bituminiai rišikliai. Bitumo emulsijų dalelių nustatymas.</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LST EN 1431:2009 Bitumas ir bituminiai rišikliai. Rišiklio ir naftos distiliatų išeigos iš bitumo emulsijų nustatymas distiliavimo metodu.</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LST EN 12597:2014 Bitumas ir bituminiai rišikliai. Terminija.</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LST EN 1426:2015 Bitumas ir bituminiai rišikliai. Adatos penetracijos nustatymas</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LST EN 1427:2015 Bitumas ir bituminiai rišikliai. Minkštėjimo temperatūros nustatymas. Žiedo ir rutulio metodas.</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LST EN 1430:2009 Bitumas ir bituminiai rišikliai. Bitumo emulsijų dalelių poliškumo nustatymas.</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LST EN 1431:2009 Bitumas ir bituminiai rišikliai. Liekamojo rišiklio ir naftos distiliatų, gaunamų distiliuojant bitumines emulsijas, nustatymas.</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LST EN 12592:2015 Bitumas ir bituminiai rišikliai. Tirpumo nustatymas.</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LST EN 12593:2015 Bitumas ir bituminiai rišikliai. Trapumo temperatūros pagal Frasą nustatymas.</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LST EN 12594:2015 Bitumas ir bituminiai rišikliai. Tiriamųjų ėminių paruošimas.</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LST EN 12595:2015 Bitumas ir bituminiai rišikliai. Kinematinės klampos nustatymas.</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LST EN 12596:2015 Bitumas ir bituminiai rišikliai. Dinaminės klampos nustatymas vakuuminiu kapiliaru.</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LST EN 12606-1:2015 Bitumas ir bituminiai rišikliai. Parafino kiekio nustatymas. 1 dalis. Distiliavimo metodas.</w:t>
      </w:r>
    </w:p>
    <w:p>
      <w:pPr>
        <w:pStyle w:val="Paprtekstas"/>
        <w:widowControl/>
        <w:suppressAutoHyphens w:val="true"/>
        <w:bidi w:val="0"/>
        <w:spacing w:lineRule="auto" w:line="276"/>
        <w:ind w:hanging="0"/>
        <w:rPr>
          <w:color w:val="auto"/>
        </w:rPr>
      </w:pPr>
      <w:r>
        <w:rPr>
          <w:color w:val="auto"/>
        </w:rPr>
        <w:t xml:space="preserve">LST EN 12606-2:2000 Bitumas ir bituminiai rišikliai. Parafino kiekio nustatymas. 2 dalis. Ekstrahavimo </w:t>
      </w:r>
      <w:r>
        <w:rPr>
          <w:rFonts w:eastAsia="Times New Roman" w:cs="Times New Roman"/>
          <w:color w:val="auto"/>
          <w:kern w:val="0"/>
          <w:szCs w:val="24"/>
          <w:lang w:val="lt-LT" w:eastAsia="en-US" w:bidi="ar-SA"/>
        </w:rPr>
        <w:t>metodas.</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LST EN 12607-1:2015 Bitumas ir bituminiai rišikliai. Atsparumo kietėjimui, veikiant šilumai ir orui nustatymas. 1 dalis. RTFOT metodas.</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LST EN 12607-2:2015 Bitumas ir bituminiai rišikliai. Atsparumo kietėjimui, veikiant šilumai ir orui nustatymas. 2 dalis. TFOT metodas.</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LST EN 12607-3:2015 Bitumas ir bituminiai rišikliai. Atsparumo kietėjimui, veikiant šilumai ir orui nustatymas. 3 dalis. RFT metodas.</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LST EN 12697-3:2013 Bituminiai mišiniai. Karštojo asfalto mišinio bandymo metodai. 3 dalis. Bitumo  regeneravimas sukiuoju garintuvu.</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LST EN 12697-4:2015 Bituminiai mišiniai. Karštojo asfalto mišinio bandymo metodai. 4 dalis. Bitumo regeneravimas. Frakcionavimo kolona.</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LST EN 12697-10:2002 Bituminiai mišiniai. Karštojo asfalto mišinio bandymo metodai. 10 dalis. Sutankinamumas.</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LST EN 12697-10:2002/AC:2007 Bituminiai mišiniai. Karštojo asfalto mišinio bandymo metodai. 10 dalis. Sutankinamumas.</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LST EN 12697-13+AC:2002 Bituminiai mišiniai. Karštojo asfalto mišinio bandymo metodai. 13 dalis. Temperatūros matavimas.</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LST EN 12697-14+AC:2002 Bituminiai mišiniai. Karštojo asfalto mišinio bandymo metodai. 14 dalis. Vandens kiekis.</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LST EN 12697-27:2002 Bituminiai mišiniai. Karštojo asfalto mišinio bandymo metodai. 27 dalis. Ėminių ėmimas.</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LST EN 12697-28:2002 Bituminiai mišiniai. Karštojo asfalto mišinio bandymo metodai. 28 dalis. Ėminių paruošimas rišiklio kiekiui, vandens kiekiui ir granuliometrinei sudėčiai nustatyti.</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LST EN ISO 2592:2002 Pliūpsnio ir užsiliepsnojimo temperatūrų nustatymas. Clevelando atviro tiglio metodas (ISO 2592:2000)</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LST EN ISO 3838:2004 Žalia nafta ir skystieji arba kietieji naftos produktai. Tankio arba santykinio tankio nustatymas. Piknometro su kapiliariniu kamšteliu ir graduoto dvikapiliario piknometro metodai (ISO 3838:2004).</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LST EN ISO 9864:2005 Geosintetika. Geotekstilė ir su geotekstile susijusių gaminių plotinio tankio nustatymo metodas (ISO 9864:2005).</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Be šių standartų gali būti taikomi ir kiti juos atitinkantys lygiaverčiai standartai.</w:t>
      </w:r>
    </w:p>
    <w:p>
      <w:pPr>
        <w:pStyle w:val="Paprtekstas"/>
        <w:widowControl/>
        <w:suppressAutoHyphens w:val="true"/>
        <w:bidi w:val="0"/>
        <w:spacing w:lineRule="auto" w:line="276"/>
        <w:ind w:hanging="0"/>
        <w:rPr>
          <w:color w:val="auto"/>
        </w:rPr>
      </w:pPr>
      <w:r>
        <w:rPr>
          <w:rFonts w:eastAsia="Times New Roman" w:cs="Times New Roman"/>
          <w:b/>
          <w:bCs/>
          <w:color w:val="auto"/>
          <w:kern w:val="0"/>
          <w:sz w:val="22"/>
          <w:szCs w:val="22"/>
          <w:lang w:val="lt-LT" w:eastAsia="en-US" w:bidi="ar-SA"/>
        </w:rPr>
        <w:t>3.5.4. Betono dangos įrengimas (DB-03)</w:t>
      </w:r>
    </w:p>
    <w:p>
      <w:pPr>
        <w:pStyle w:val="Paprtekstas"/>
        <w:widowControl/>
        <w:suppressAutoHyphens w:val="true"/>
        <w:bidi w:val="0"/>
        <w:spacing w:lineRule="auto" w:line="276"/>
        <w:rPr>
          <w:color w:val="auto"/>
        </w:rPr>
      </w:pPr>
      <w:r>
        <w:rPr>
          <w:rFonts w:eastAsia="Times New Roman" w:cs="Times New Roman"/>
          <w:i/>
          <w:iCs/>
          <w:color w:val="auto"/>
          <w:kern w:val="0"/>
          <w:szCs w:val="24"/>
          <w:u w:val="single"/>
          <w:lang w:val="lt-LT" w:eastAsia="en-US" w:bidi="ar-SA"/>
        </w:rPr>
        <w:t>Paviršius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Dangos storis ne mažesnis nei 15 cm, naudojamas betonas C30/37  XC2+XF3 kurio vandens pralaidumo markė W8, šalčio atsparumo markė F150. Betoninė danga yra sutvirtinama su vieno sluoksnio 8 mm  diametro tinkleliu kurio akies dydis 150x150 mm. Vertikalios dangos yra betonuojamos naudojant „shotcrete“ technologiją (purškiamas betonas).</w:t>
      </w:r>
    </w:p>
    <w:p>
      <w:pPr>
        <w:pStyle w:val="Paprtekstas"/>
        <w:widowControl/>
        <w:suppressAutoHyphens w:val="true"/>
        <w:bidi w:val="0"/>
        <w:spacing w:lineRule="auto" w:line="276"/>
        <w:rPr>
          <w:color w:val="auto"/>
        </w:rPr>
      </w:pPr>
      <w:r>
        <w:rPr>
          <w:rFonts w:eastAsia="Times New Roman" w:cs="Times New Roman"/>
          <w:i/>
          <w:iCs/>
          <w:color w:val="auto"/>
          <w:kern w:val="0"/>
          <w:szCs w:val="24"/>
          <w:u w:val="single"/>
          <w:lang w:val="lt-LT" w:eastAsia="en-US" w:bidi="ar-SA"/>
        </w:rPr>
        <w:t>Dangų paviršius poliruojamas su mechaniniu šlifuotoju.</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Važiuojamoje dangoje turi būti įrengtos temperatūrinės siūlės kurių dydis negali būti didesnis nei 5x5m, gylis 1/3 dangos storio.</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Danga turi turėti nuolydi kurio diapazonas nuo 1,5%  iki 2,0%. Jeigu yra galimybė, nuolydis turi būti tik į vieną pusę.</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 xml:space="preserve">Važiuojama dalis turi būti lygi ir atspari smūgiams. Riedlentės, riedučiai, paspirtukai, kurių ratukai yra 44-62 mm diametro negali jausti jokių trikdžių ar nelygumų riedant. </w:t>
      </w:r>
    </w:p>
    <w:p>
      <w:pPr>
        <w:pStyle w:val="Paprtekstas"/>
        <w:widowControl/>
        <w:suppressAutoHyphens w:val="true"/>
        <w:bidi w:val="0"/>
        <w:spacing w:lineRule="auto" w:line="276"/>
        <w:rPr>
          <w:color w:val="auto"/>
        </w:rPr>
      </w:pPr>
      <w:r>
        <w:rPr>
          <w:rFonts w:eastAsia="Times New Roman" w:cs="Times New Roman"/>
          <w:i/>
          <w:iCs/>
          <w:color w:val="auto"/>
          <w:kern w:val="0"/>
          <w:szCs w:val="24"/>
          <w:u w:val="single"/>
          <w:lang w:val="lt-LT" w:eastAsia="en-US" w:bidi="ar-SA"/>
        </w:rPr>
        <w:t xml:space="preserve">Pagrindai </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Betoninis skate parko pagrindas įrengiamas ant žemės pagrindų.</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- 38 cm šalčiui atsparus smėlio - žvyro sluoksnis fr. 0 – 32mm.</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- 15 cm žvyro skaldos fr 0 – 45mm arba dolomitinės skaldos sluoksnis fr. 0 – 32mm.</w:t>
      </w:r>
    </w:p>
    <w:p>
      <w:pPr>
        <w:pStyle w:val="Paprtekstas"/>
        <w:widowControl/>
        <w:suppressAutoHyphens w:val="true"/>
        <w:bidi w:val="0"/>
        <w:spacing w:lineRule="auto" w:line="276"/>
        <w:rPr>
          <w:color w:val="auto"/>
        </w:rPr>
      </w:pPr>
      <w:r>
        <w:rPr>
          <w:color w:val="auto"/>
        </w:rPr>
        <w:t>- 15 cm C30/C37 markės betono sluoksnis važiuojamajam paviršiui. Vertikalios važiuojamosios dangos yra betonuojamos naudojant shotcrete technologiją (purškiamas betonas).</w:t>
      </w:r>
    </w:p>
    <w:p>
      <w:pPr>
        <w:pStyle w:val="Paprtekstas"/>
        <w:widowControl/>
        <w:suppressAutoHyphens w:val="true"/>
        <w:bidi w:val="0"/>
        <w:spacing w:lineRule="auto" w:line="276"/>
        <w:rPr>
          <w:color w:val="auto"/>
        </w:rPr>
      </w:pPr>
      <w:r>
        <w:rPr>
          <w:rFonts w:eastAsia="Times New Roman" w:cs="Times New Roman"/>
          <w:b/>
          <w:bCs/>
          <w:color w:val="auto"/>
          <w:kern w:val="0"/>
          <w:sz w:val="22"/>
          <w:szCs w:val="22"/>
          <w:lang w:val="lt-LT" w:eastAsia="en-US" w:bidi="ar-SA"/>
        </w:rPr>
        <w:t xml:space="preserve"> </w:t>
      </w:r>
      <w:r>
        <w:rPr>
          <w:rFonts w:eastAsia="Times New Roman" w:cs="Times New Roman"/>
          <w:b/>
          <w:bCs/>
          <w:color w:val="auto"/>
          <w:kern w:val="0"/>
          <w:sz w:val="22"/>
          <w:szCs w:val="22"/>
          <w:lang w:val="lt-LT" w:eastAsia="en-US" w:bidi="ar-SA"/>
        </w:rPr>
        <w:t>3.5.5.  Dirbtinė vaikų žaidimų aikštelės danga (DV-01)</w:t>
      </w:r>
    </w:p>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t> </w:t>
      </w:r>
      <w:r>
        <w:rPr>
          <w:rFonts w:eastAsia="Times New Roman" w:cs="Times New Roman"/>
          <w:color w:val="auto"/>
          <w:kern w:val="0"/>
          <w:szCs w:val="24"/>
          <w:lang w:val="lt-LT" w:eastAsia="en-US" w:bidi="ar-SA"/>
        </w:rPr>
        <w:t xml:space="preserve">Žaidimų aikštelės įranga, šalia šios įrangos įrengta atsitrenkimą švelninanti danga turi turėti atitikties sertifikatą ar gamintojo deklaraciją, liudijančią įrangos ir dangos atitiktį joms taikomų Lietuvos standartų LST EN 1176-1, LST EN 1176-2 „Žaidimų aikštelių įranga ir dangos. 2 dalis. Sūpuoklių papildomi specialieji saugos reikalavimai ir bandymo metodai“ (toliau – Lietuvos standartas LST EN 1176-2), LST EN 1176-3 „Žaidimų aikštelių įranga ir dangos. 3 dalis. Čiuožynių papildomi specialieji saugos reikalavimai ir bandymo metodai“ (toliau – Lietuvos standartas LST EN 1176-3), LST EN 1176-4 „Žaidimų aikštelių įranga ir dangos. 4 dalis. Lynų kelių papildomi specialieji saugos reikalavimai ir bandymo metodai“ (toliau – Lietuvos standartas LST EN 1176-4), LST EN 1176-5 „Žaidimų aikštelių įranga ir dangos. 5 dalis. Karuselių papildomi specialieji saugos reikalavimai ir bandymo metodai“ (toliau – Lietuvos standartas LST EN 1176-5), LST EN 1176-6 „Žaidimų aikštelių įranga ir dangos. 6 dalis. Supamosios įrangos papildomi specialieji saugos reikalavimai ir bandymo metodai“ (toliau – Lietuvos standartas LST EN 1176-6), LST EN 1176-10 „Žaidimų aikštelių įranga ir dangos. 10 dalis. Visiškai uždaros žaidimų įrangos papildomi specialieji saugos reikalavimai ir bandymo metodai“ (toliau – Lietuvos standartas LST EN 1176-10), LST EN 1176-11 „Žaidimų aikštelių įranga ir dangos. 11 dalis. Erdvinio tinklyno papildomi specialieji saugos reikalavimai ir bandymo metodai“ (toliau – Lietuvos standartas LST EN 1176-11), LST EN 1177 „Atsitrenkimą švelninanti žaidimų aikštelės danga. Bandymo metodai atsitrenkimo švelninimui nustatyti“ (toliau – Lietuvos standartas LST EN 1177) ar tapačių standartų reikalavimams, bei surinkimo, naudojimo ir priežiūros instrukcijas valstybine kalba. Žaidimų aikštelės įranga, šalia šios įrangos įrengta atsitrenkimą švelninanti danga turi būti sumontuota pagal gamintojo instrukcijas. </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 xml:space="preserve"> </w:t>
      </w:r>
      <w:r>
        <w:rPr>
          <w:rFonts w:eastAsia="Times New Roman" w:cs="Times New Roman"/>
          <w:color w:val="auto"/>
          <w:kern w:val="0"/>
          <w:szCs w:val="24"/>
          <w:lang w:val="lt-LT" w:eastAsia="en-US" w:bidi="ar-SA"/>
        </w:rPr>
        <w:t>EPDM liejama danga (toliau – danga) – tai ekologiška, vandeniui laidi, besiūlė, atspari klimato temperatūros pokyčiams danga, sukurta sužeidimų ir nubrozdinimų rizikai mažinti bei smūgiams sugerti. Ši danga turi aukštus stiprumo, lankstumo ir ilgaamžiškumo parametrus, yra nereikli priežiūrai, nesudėtingai techniniškai aptarnaujama, neslidi ir lengvai valoma. Dangos poringumas paspartina lietaus vandens nutekėjimą, todėl nereikia įrengti papildomo drenažo, kad būtų galima naudoti dangą iš karto po lietaus. Dėl minėtų sąvybių,liejama guminė danga dažniausiai naudojama žaidimų aikštelių, sporto aikštelių, neįgaliųjų rampų, baseinų, takų aplink baseinus, namų laiptų ir terasų įrengimui.</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Danga turi atitikti šiuos reikalavimus:</w:t>
      </w:r>
    </w:p>
    <w:p>
      <w:pPr>
        <w:pStyle w:val="Paprtekstas"/>
        <w:widowControl/>
        <w:numPr>
          <w:ilvl w:val="0"/>
          <w:numId w:val="7"/>
        </w:numPr>
        <w:suppressAutoHyphens w:val="true"/>
        <w:bidi w:val="0"/>
        <w:spacing w:lineRule="auto" w:line="276"/>
        <w:rPr>
          <w:color w:val="auto"/>
        </w:rPr>
      </w:pPr>
      <w:r>
        <w:rPr>
          <w:color w:val="auto"/>
        </w:rPr>
        <w:t>Nacionalinio higienos centro keliamus reikalavimus. Higienos paso Nr.HK/B/1284/01/2016;</w:t>
      </w:r>
    </w:p>
    <w:p>
      <w:pPr>
        <w:pStyle w:val="Paprtekstas"/>
        <w:widowControl/>
        <w:numPr>
          <w:ilvl w:val="0"/>
          <w:numId w:val="7"/>
        </w:numPr>
        <w:suppressAutoHyphens w:val="true"/>
        <w:bidi w:val="0"/>
        <w:spacing w:lineRule="auto" w:line="276"/>
        <w:rPr>
          <w:color w:val="auto"/>
        </w:rPr>
      </w:pPr>
      <w:r>
        <w:rPr>
          <w:color w:val="auto"/>
        </w:rPr>
        <w:t>LST EN 1177:2018 (Smūgį silpninanti žaidimų aikštelių danga). Kritinio kritimo aukščio reikalavimus;</w:t>
      </w:r>
    </w:p>
    <w:p>
      <w:pPr>
        <w:pStyle w:val="Paprtekstas"/>
        <w:widowControl/>
        <w:numPr>
          <w:ilvl w:val="0"/>
          <w:numId w:val="7"/>
        </w:numPr>
        <w:suppressAutoHyphens w:val="true"/>
        <w:bidi w:val="0"/>
        <w:spacing w:lineRule="auto" w:line="276"/>
        <w:rPr>
          <w:color w:val="auto"/>
        </w:rPr>
      </w:pPr>
      <w:r>
        <w:rPr>
          <w:color w:val="auto"/>
        </w:rPr>
        <w:t>LST EN 1176-1:2018 reikalavimus;</w:t>
      </w:r>
    </w:p>
    <w:p>
      <w:pPr>
        <w:pStyle w:val="Paprtekstas"/>
        <w:widowControl/>
        <w:numPr>
          <w:ilvl w:val="0"/>
          <w:numId w:val="7"/>
        </w:numPr>
        <w:suppressAutoHyphens w:val="true"/>
        <w:bidi w:val="0"/>
        <w:spacing w:lineRule="auto" w:line="276"/>
        <w:rPr>
          <w:color w:val="auto"/>
        </w:rPr>
      </w:pPr>
      <w:r>
        <w:rPr>
          <w:color w:val="auto"/>
        </w:rPr>
        <w:t xml:space="preserve">Higienos normos </w:t>
      </w:r>
      <w:r>
        <w:rPr>
          <w:caps w:val="false"/>
          <w:smallCaps w:val="false"/>
          <w:color w:val="222222"/>
          <w:spacing w:val="0"/>
        </w:rPr>
        <w:t> </w:t>
      </w:r>
      <w:r>
        <w:rPr>
          <w:rFonts w:ascii="Arial;Helvetica;sans-serif" w:hAnsi="Arial;Helvetica;sans-serif"/>
          <w:b w:val="false"/>
          <w:i w:val="false"/>
          <w:caps w:val="false"/>
          <w:smallCaps w:val="false"/>
          <w:color w:val="222222"/>
          <w:spacing w:val="0"/>
          <w:sz w:val="24"/>
        </w:rPr>
        <w:t>HN 131:2023</w:t>
      </w:r>
      <w:r>
        <w:rPr/>
        <w:t xml:space="preserve"> </w:t>
      </w:r>
      <w:r>
        <w:rPr>
          <w:color w:val="auto"/>
        </w:rPr>
        <w:t xml:space="preserve"> reikalavimus.</w:t>
      </w:r>
    </w:p>
    <w:p>
      <w:pPr>
        <w:pStyle w:val="Paprtekstas"/>
        <w:widowControl/>
        <w:suppressAutoHyphens w:val="true"/>
        <w:bidi w:val="0"/>
        <w:spacing w:lineRule="auto" w:line="276"/>
        <w:rPr>
          <w:color w:val="auto"/>
        </w:rPr>
      </w:pPr>
      <w:r>
        <w:rPr>
          <w:color w:val="auto"/>
        </w:rPr>
      </w:r>
    </w:p>
    <w:p>
      <w:pPr>
        <w:pStyle w:val="Caption"/>
        <w:keepNext w:val="true"/>
        <w:rPr>
          <w:color w:val="auto"/>
        </w:rPr>
      </w:pPr>
      <w:r>
        <w:rPr>
          <w:color w:val="auto"/>
        </w:rPr>
        <w:t>EPDM liejamos dangos parametrai</w:t>
      </w:r>
    </w:p>
    <w:tbl>
      <w:tblPr>
        <w:tblW w:w="10200" w:type="dxa"/>
        <w:jc w:val="left"/>
        <w:tblInd w:w="55" w:type="dxa"/>
        <w:tblLayout w:type="fixed"/>
        <w:tblCellMar>
          <w:top w:w="55" w:type="dxa"/>
          <w:left w:w="55" w:type="dxa"/>
          <w:bottom w:w="55" w:type="dxa"/>
          <w:right w:w="55" w:type="dxa"/>
        </w:tblCellMar>
      </w:tblPr>
      <w:tblGrid>
        <w:gridCol w:w="2263"/>
        <w:gridCol w:w="7937"/>
      </w:tblGrid>
      <w:tr>
        <w:trPr/>
        <w:tc>
          <w:tcPr>
            <w:tcW w:w="2263" w:type="dxa"/>
            <w:tcBorders>
              <w:top w:val="single" w:sz="4" w:space="0" w:color="000000"/>
              <w:left w:val="single" w:sz="4" w:space="0" w:color="000000"/>
              <w:bottom w:val="single" w:sz="4" w:space="0" w:color="000000"/>
            </w:tcBorders>
          </w:tcPr>
          <w:p>
            <w:pPr>
              <w:pStyle w:val="Paprtekstas"/>
              <w:widowControl/>
              <w:suppressAutoHyphens w:val="true"/>
              <w:bidi w:val="0"/>
              <w:spacing w:lineRule="auto" w:line="276" w:before="0" w:after="120"/>
              <w:ind w:hanging="0"/>
              <w:rPr>
                <w:color w:val="auto"/>
              </w:rPr>
            </w:pPr>
            <w:r>
              <w:rPr>
                <w:rFonts w:eastAsia="Times New Roman" w:cs="Times New Roman" w:ascii="Rial" w:hAnsi="Rial"/>
                <w:b/>
                <w:bCs/>
                <w:color w:val="auto"/>
                <w:kern w:val="0"/>
                <w:sz w:val="16"/>
                <w:szCs w:val="16"/>
                <w:lang w:val="lt-LT" w:eastAsia="en-US" w:bidi="ar-SA"/>
              </w:rPr>
              <w:t>Savybė</w:t>
            </w:r>
          </w:p>
        </w:tc>
        <w:tc>
          <w:tcPr>
            <w:tcW w:w="7937" w:type="dxa"/>
            <w:tcBorders>
              <w:top w:val="single" w:sz="4" w:space="0" w:color="000000"/>
              <w:left w:val="single" w:sz="4" w:space="0" w:color="000000"/>
              <w:bottom w:val="single" w:sz="4" w:space="0" w:color="000000"/>
              <w:right w:val="single" w:sz="4" w:space="0" w:color="000000"/>
            </w:tcBorders>
          </w:tcPr>
          <w:p>
            <w:pPr>
              <w:pStyle w:val="Lentelsturinys"/>
              <w:spacing w:before="0" w:after="200"/>
              <w:rPr>
                <w:color w:val="auto"/>
              </w:rPr>
            </w:pPr>
            <w:r>
              <w:rPr>
                <w:rFonts w:ascii="Rial" w:hAnsi="Rial"/>
                <w:b/>
                <w:bCs/>
                <w:color w:val="auto"/>
                <w:sz w:val="16"/>
                <w:szCs w:val="16"/>
              </w:rPr>
              <w:t>parametrai</w:t>
            </w:r>
          </w:p>
        </w:tc>
      </w:tr>
      <w:tr>
        <w:trPr/>
        <w:tc>
          <w:tcPr>
            <w:tcW w:w="2263" w:type="dxa"/>
            <w:tcBorders>
              <w:left w:val="single" w:sz="4" w:space="0" w:color="000000"/>
              <w:bottom w:val="single" w:sz="4" w:space="0" w:color="000000"/>
            </w:tcBorders>
          </w:tcPr>
          <w:p>
            <w:pPr>
              <w:pStyle w:val="Paprtekstas"/>
              <w:widowControl/>
              <w:suppressAutoHyphens w:val="true"/>
              <w:bidi w:val="0"/>
              <w:spacing w:lineRule="auto" w:line="276" w:before="0" w:after="120"/>
              <w:ind w:hanging="0"/>
              <w:rPr>
                <w:color w:val="auto"/>
              </w:rPr>
            </w:pPr>
            <w:r>
              <w:rPr>
                <w:rFonts w:eastAsia="Times New Roman" w:cs="Times New Roman" w:ascii="Rial" w:hAnsi="Rial"/>
                <w:color w:val="auto"/>
                <w:kern w:val="0"/>
                <w:sz w:val="16"/>
                <w:szCs w:val="16"/>
                <w:lang w:val="lt-LT" w:eastAsia="en-US" w:bidi="ar-SA"/>
              </w:rPr>
              <w:t>Kietumas</w:t>
            </w:r>
          </w:p>
        </w:tc>
        <w:tc>
          <w:tcPr>
            <w:tcW w:w="7937" w:type="dxa"/>
            <w:tcBorders>
              <w:left w:val="single" w:sz="4" w:space="0" w:color="000000"/>
              <w:bottom w:val="single" w:sz="4" w:space="0" w:color="000000"/>
              <w:right w:val="single" w:sz="4" w:space="0" w:color="000000"/>
            </w:tcBorders>
          </w:tcPr>
          <w:p>
            <w:pPr>
              <w:pStyle w:val="Paprtekstas"/>
              <w:widowControl/>
              <w:suppressAutoHyphens w:val="true"/>
              <w:bidi w:val="0"/>
              <w:spacing w:lineRule="auto" w:line="276" w:before="0" w:after="120"/>
              <w:ind w:hanging="0"/>
              <w:rPr>
                <w:color w:val="auto"/>
              </w:rPr>
            </w:pPr>
            <w:r>
              <w:rPr>
                <w:rFonts w:eastAsia="Times New Roman" w:cs="Times New Roman" w:ascii="Rial" w:hAnsi="Rial"/>
                <w:color w:val="auto"/>
                <w:kern w:val="0"/>
                <w:sz w:val="16"/>
                <w:szCs w:val="16"/>
                <w:lang w:val="lt-LT" w:eastAsia="en-US" w:bidi="ar-SA"/>
              </w:rPr>
              <w:t xml:space="preserve"> </w:t>
            </w:r>
            <w:r>
              <w:rPr>
                <w:rFonts w:eastAsia="Times New Roman" w:cs="Times New Roman" w:ascii="Rial" w:hAnsi="Rial"/>
                <w:color w:val="auto"/>
                <w:kern w:val="0"/>
                <w:sz w:val="16"/>
                <w:szCs w:val="16"/>
                <w:lang w:val="lt-LT" w:eastAsia="en-US" w:bidi="ar-SA"/>
              </w:rPr>
              <w:t>~ 40 0Sh A</w:t>
            </w:r>
          </w:p>
        </w:tc>
      </w:tr>
      <w:tr>
        <w:trPr/>
        <w:tc>
          <w:tcPr>
            <w:tcW w:w="2263" w:type="dxa"/>
            <w:tcBorders>
              <w:left w:val="single" w:sz="4" w:space="0" w:color="000000"/>
              <w:bottom w:val="single" w:sz="4" w:space="0" w:color="000000"/>
            </w:tcBorders>
          </w:tcPr>
          <w:p>
            <w:pPr>
              <w:pStyle w:val="Paprtekstas"/>
              <w:widowControl/>
              <w:suppressAutoHyphens w:val="true"/>
              <w:bidi w:val="0"/>
              <w:spacing w:lineRule="auto" w:line="276" w:before="0" w:after="120"/>
              <w:ind w:hanging="0"/>
              <w:rPr>
                <w:color w:val="auto"/>
              </w:rPr>
            </w:pPr>
            <w:r>
              <w:rPr>
                <w:rFonts w:eastAsia="Times New Roman" w:cs="Times New Roman" w:ascii="Rial" w:hAnsi="Rial"/>
                <w:color w:val="auto"/>
                <w:kern w:val="0"/>
                <w:sz w:val="16"/>
                <w:szCs w:val="16"/>
                <w:lang w:val="lt-LT" w:eastAsia="en-US" w:bidi="ar-SA"/>
              </w:rPr>
              <w:t>Stiprumas tempiant</w:t>
            </w:r>
          </w:p>
        </w:tc>
        <w:tc>
          <w:tcPr>
            <w:tcW w:w="7937" w:type="dxa"/>
            <w:tcBorders>
              <w:left w:val="single" w:sz="4" w:space="0" w:color="000000"/>
              <w:bottom w:val="single" w:sz="4" w:space="0" w:color="000000"/>
              <w:right w:val="single" w:sz="4" w:space="0" w:color="000000"/>
            </w:tcBorders>
          </w:tcPr>
          <w:p>
            <w:pPr>
              <w:pStyle w:val="Paprtekstas"/>
              <w:widowControl/>
              <w:suppressAutoHyphens w:val="true"/>
              <w:bidi w:val="0"/>
              <w:spacing w:lineRule="auto" w:line="276" w:before="0" w:after="120"/>
              <w:ind w:hanging="0"/>
              <w:rPr>
                <w:color w:val="auto"/>
              </w:rPr>
            </w:pPr>
            <w:r>
              <w:rPr>
                <w:rFonts w:eastAsia="Times New Roman" w:cs="Times New Roman" w:ascii="Rial" w:hAnsi="Rial"/>
                <w:color w:val="auto"/>
                <w:kern w:val="0"/>
                <w:sz w:val="16"/>
                <w:szCs w:val="16"/>
                <w:lang w:val="lt-LT" w:eastAsia="en-US" w:bidi="ar-SA"/>
              </w:rPr>
              <w:t xml:space="preserve"> </w:t>
            </w:r>
            <w:r>
              <w:rPr>
                <w:rFonts w:eastAsia="Times New Roman" w:cs="Times New Roman" w:ascii="Rial" w:hAnsi="Rial"/>
                <w:color w:val="auto"/>
                <w:kern w:val="0"/>
                <w:sz w:val="16"/>
                <w:szCs w:val="16"/>
                <w:lang w:val="lt-LT" w:eastAsia="en-US" w:bidi="ar-SA"/>
              </w:rPr>
              <w:t>* ~ 0,7 MPa</w:t>
            </w:r>
          </w:p>
        </w:tc>
      </w:tr>
      <w:tr>
        <w:trPr/>
        <w:tc>
          <w:tcPr>
            <w:tcW w:w="2263" w:type="dxa"/>
            <w:tcBorders>
              <w:left w:val="single" w:sz="4" w:space="0" w:color="000000"/>
              <w:bottom w:val="single" w:sz="4" w:space="0" w:color="000000"/>
            </w:tcBorders>
          </w:tcPr>
          <w:p>
            <w:pPr>
              <w:pStyle w:val="Paprtekstas"/>
              <w:widowControl/>
              <w:suppressAutoHyphens w:val="true"/>
              <w:bidi w:val="0"/>
              <w:spacing w:lineRule="auto" w:line="276" w:before="0" w:after="120"/>
              <w:ind w:hanging="0"/>
              <w:rPr>
                <w:color w:val="auto"/>
              </w:rPr>
            </w:pPr>
            <w:r>
              <w:rPr>
                <w:rFonts w:eastAsia="Times New Roman" w:cs="Times New Roman" w:ascii="Rial" w:hAnsi="Rial"/>
                <w:color w:val="auto"/>
                <w:kern w:val="0"/>
                <w:sz w:val="16"/>
                <w:szCs w:val="16"/>
                <w:lang w:val="lt-LT" w:eastAsia="en-US" w:bidi="ar-SA"/>
              </w:rPr>
              <w:t>Pailgėjimas tempiant</w:t>
            </w:r>
          </w:p>
        </w:tc>
        <w:tc>
          <w:tcPr>
            <w:tcW w:w="7937" w:type="dxa"/>
            <w:tcBorders>
              <w:left w:val="single" w:sz="4" w:space="0" w:color="000000"/>
              <w:bottom w:val="single" w:sz="4" w:space="0" w:color="000000"/>
              <w:right w:val="single" w:sz="4" w:space="0" w:color="000000"/>
            </w:tcBorders>
          </w:tcPr>
          <w:p>
            <w:pPr>
              <w:pStyle w:val="Paprtekstas"/>
              <w:widowControl/>
              <w:suppressAutoHyphens w:val="true"/>
              <w:bidi w:val="0"/>
              <w:spacing w:lineRule="auto" w:line="276" w:before="0" w:after="120"/>
              <w:ind w:hanging="0"/>
              <w:rPr>
                <w:color w:val="auto"/>
              </w:rPr>
            </w:pPr>
            <w:r>
              <w:rPr>
                <w:rFonts w:eastAsia="Times New Roman" w:cs="Times New Roman" w:ascii="Rial" w:hAnsi="Rial"/>
                <w:color w:val="auto"/>
                <w:kern w:val="0"/>
                <w:sz w:val="16"/>
                <w:szCs w:val="16"/>
                <w:lang w:val="lt-LT" w:eastAsia="en-US" w:bidi="ar-SA"/>
              </w:rPr>
              <w:t>* ~ 110 %</w:t>
            </w:r>
          </w:p>
        </w:tc>
      </w:tr>
      <w:tr>
        <w:trPr/>
        <w:tc>
          <w:tcPr>
            <w:tcW w:w="2263" w:type="dxa"/>
            <w:tcBorders>
              <w:left w:val="single" w:sz="4" w:space="0" w:color="000000"/>
              <w:bottom w:val="single" w:sz="4" w:space="0" w:color="000000"/>
            </w:tcBorders>
          </w:tcPr>
          <w:p>
            <w:pPr>
              <w:pStyle w:val="Paprtekstas"/>
              <w:widowControl/>
              <w:suppressAutoHyphens w:val="true"/>
              <w:bidi w:val="0"/>
              <w:spacing w:lineRule="auto" w:line="276" w:before="0" w:after="120"/>
              <w:ind w:hanging="0"/>
              <w:rPr>
                <w:color w:val="auto"/>
              </w:rPr>
            </w:pPr>
            <w:r>
              <w:rPr>
                <w:rFonts w:eastAsia="Times New Roman" w:cs="Times New Roman" w:ascii="Rial" w:hAnsi="Rial"/>
                <w:color w:val="auto"/>
                <w:kern w:val="0"/>
                <w:sz w:val="16"/>
                <w:szCs w:val="16"/>
                <w:lang w:val="lt-LT" w:eastAsia="en-US" w:bidi="ar-SA"/>
              </w:rPr>
              <w:t>Trintis</w:t>
            </w:r>
          </w:p>
        </w:tc>
        <w:tc>
          <w:tcPr>
            <w:tcW w:w="7937" w:type="dxa"/>
            <w:tcBorders>
              <w:left w:val="single" w:sz="4" w:space="0" w:color="000000"/>
              <w:bottom w:val="single" w:sz="4" w:space="0" w:color="000000"/>
              <w:right w:val="single" w:sz="4" w:space="0" w:color="000000"/>
            </w:tcBorders>
          </w:tcPr>
          <w:p>
            <w:pPr>
              <w:pStyle w:val="Paprtekstas"/>
              <w:widowControl/>
              <w:suppressAutoHyphens w:val="true"/>
              <w:bidi w:val="0"/>
              <w:spacing w:lineRule="auto" w:line="276" w:before="0" w:after="120"/>
              <w:ind w:hanging="0"/>
              <w:rPr>
                <w:color w:val="auto"/>
              </w:rPr>
            </w:pPr>
            <w:r>
              <w:rPr>
                <w:rFonts w:eastAsia="Times New Roman" w:cs="Times New Roman" w:ascii="Rial" w:hAnsi="Rial"/>
                <w:color w:val="auto"/>
                <w:kern w:val="0"/>
                <w:sz w:val="16"/>
                <w:szCs w:val="16"/>
                <w:lang w:val="lt-LT" w:eastAsia="en-US" w:bidi="ar-SA"/>
              </w:rPr>
              <w:t xml:space="preserve"> </w:t>
            </w:r>
            <w:r>
              <w:rPr>
                <w:rFonts w:eastAsia="Times New Roman" w:cs="Times New Roman" w:ascii="Rial" w:hAnsi="Rial"/>
                <w:color w:val="auto"/>
                <w:kern w:val="0"/>
                <w:sz w:val="16"/>
                <w:szCs w:val="16"/>
                <w:lang w:val="lt-LT" w:eastAsia="en-US" w:bidi="ar-SA"/>
              </w:rPr>
              <w:t>&lt; 0,124 mm</w:t>
            </w:r>
          </w:p>
        </w:tc>
      </w:tr>
      <w:tr>
        <w:trPr/>
        <w:tc>
          <w:tcPr>
            <w:tcW w:w="2263" w:type="dxa"/>
            <w:tcBorders>
              <w:left w:val="single" w:sz="4" w:space="0" w:color="000000"/>
              <w:bottom w:val="single" w:sz="4" w:space="0" w:color="000000"/>
            </w:tcBorders>
          </w:tcPr>
          <w:p>
            <w:pPr>
              <w:pStyle w:val="Paprtekstas"/>
              <w:widowControl/>
              <w:suppressAutoHyphens w:val="true"/>
              <w:bidi w:val="0"/>
              <w:spacing w:lineRule="auto" w:line="276" w:before="0" w:after="120"/>
              <w:ind w:hanging="0"/>
              <w:rPr>
                <w:color w:val="auto"/>
              </w:rPr>
            </w:pPr>
            <w:r>
              <w:rPr>
                <w:rFonts w:eastAsia="Times New Roman" w:cs="Times New Roman" w:ascii="Rial" w:hAnsi="Rial"/>
                <w:color w:val="auto"/>
                <w:kern w:val="0"/>
                <w:sz w:val="16"/>
                <w:szCs w:val="16"/>
                <w:lang w:val="lt-LT" w:eastAsia="en-US" w:bidi="ar-SA"/>
              </w:rPr>
              <w:t>Tarpsluoksnio sukibimas</w:t>
            </w:r>
          </w:p>
        </w:tc>
        <w:tc>
          <w:tcPr>
            <w:tcW w:w="7937" w:type="dxa"/>
            <w:tcBorders>
              <w:left w:val="single" w:sz="4" w:space="0" w:color="000000"/>
              <w:bottom w:val="single" w:sz="4" w:space="0" w:color="000000"/>
              <w:right w:val="single" w:sz="4" w:space="0" w:color="000000"/>
            </w:tcBorders>
          </w:tcPr>
          <w:p>
            <w:pPr>
              <w:pStyle w:val="Paprtekstas"/>
              <w:widowControl/>
              <w:suppressAutoHyphens w:val="true"/>
              <w:bidi w:val="0"/>
              <w:spacing w:lineRule="auto" w:line="276" w:before="0" w:after="120"/>
              <w:ind w:hanging="0"/>
              <w:rPr>
                <w:color w:val="auto"/>
              </w:rPr>
            </w:pPr>
            <w:r>
              <w:rPr>
                <w:rFonts w:eastAsia="Times New Roman" w:cs="Times New Roman" w:ascii="Rial" w:hAnsi="Rial"/>
                <w:color w:val="auto"/>
                <w:kern w:val="0"/>
                <w:sz w:val="16"/>
                <w:szCs w:val="16"/>
                <w:lang w:val="lt-LT" w:eastAsia="en-US" w:bidi="ar-SA"/>
              </w:rPr>
              <w:t xml:space="preserve"> </w:t>
            </w:r>
            <w:r>
              <w:rPr>
                <w:rFonts w:eastAsia="Times New Roman" w:cs="Times New Roman" w:ascii="Rial" w:hAnsi="Rial"/>
                <w:color w:val="auto"/>
                <w:kern w:val="0"/>
                <w:sz w:val="16"/>
                <w:szCs w:val="16"/>
                <w:lang w:val="lt-LT" w:eastAsia="en-US" w:bidi="ar-SA"/>
              </w:rPr>
              <w:t>&gt; 0,5 MPa</w:t>
            </w:r>
          </w:p>
        </w:tc>
      </w:tr>
      <w:tr>
        <w:trPr/>
        <w:tc>
          <w:tcPr>
            <w:tcW w:w="2263" w:type="dxa"/>
            <w:tcBorders>
              <w:left w:val="single" w:sz="4" w:space="0" w:color="000000"/>
              <w:bottom w:val="single" w:sz="4" w:space="0" w:color="000000"/>
            </w:tcBorders>
          </w:tcPr>
          <w:p>
            <w:pPr>
              <w:pStyle w:val="Paprtekstas"/>
              <w:widowControl/>
              <w:suppressAutoHyphens w:val="true"/>
              <w:bidi w:val="0"/>
              <w:spacing w:lineRule="auto" w:line="276" w:before="0" w:after="120"/>
              <w:ind w:hanging="0"/>
              <w:rPr>
                <w:color w:val="auto"/>
              </w:rPr>
            </w:pPr>
            <w:r>
              <w:rPr>
                <w:rFonts w:eastAsia="Times New Roman" w:cs="Times New Roman" w:ascii="Rial" w:hAnsi="Rial"/>
                <w:color w:val="auto"/>
                <w:kern w:val="0"/>
                <w:sz w:val="16"/>
                <w:szCs w:val="16"/>
                <w:lang w:val="lt-LT" w:eastAsia="en-US" w:bidi="ar-SA"/>
              </w:rPr>
              <w:t>Jėgos sumažėjimas</w:t>
            </w:r>
          </w:p>
        </w:tc>
        <w:tc>
          <w:tcPr>
            <w:tcW w:w="7937" w:type="dxa"/>
            <w:tcBorders>
              <w:left w:val="single" w:sz="4" w:space="0" w:color="000000"/>
              <w:bottom w:val="single" w:sz="4" w:space="0" w:color="000000"/>
              <w:right w:val="single" w:sz="4" w:space="0" w:color="000000"/>
            </w:tcBorders>
          </w:tcPr>
          <w:p>
            <w:pPr>
              <w:pStyle w:val="Paprtekstas"/>
              <w:widowControl/>
              <w:suppressAutoHyphens w:val="true"/>
              <w:bidi w:val="0"/>
              <w:spacing w:lineRule="auto" w:line="276" w:before="0" w:after="120"/>
              <w:ind w:hanging="0"/>
              <w:rPr>
                <w:color w:val="auto"/>
              </w:rPr>
            </w:pPr>
            <w:r>
              <w:rPr>
                <w:rFonts w:eastAsia="Times New Roman" w:cs="Times New Roman" w:ascii="Rial" w:hAnsi="Rial"/>
                <w:color w:val="auto"/>
                <w:kern w:val="0"/>
                <w:sz w:val="16"/>
                <w:szCs w:val="16"/>
                <w:lang w:val="lt-LT" w:eastAsia="en-US" w:bidi="ar-SA"/>
              </w:rPr>
              <w:t>35 %</w:t>
            </w:r>
          </w:p>
        </w:tc>
      </w:tr>
      <w:tr>
        <w:trPr/>
        <w:tc>
          <w:tcPr>
            <w:tcW w:w="2263" w:type="dxa"/>
            <w:tcBorders>
              <w:left w:val="single" w:sz="4" w:space="0" w:color="000000"/>
              <w:bottom w:val="single" w:sz="4" w:space="0" w:color="000000"/>
            </w:tcBorders>
          </w:tcPr>
          <w:p>
            <w:pPr>
              <w:pStyle w:val="Paprtekstas"/>
              <w:widowControl/>
              <w:suppressAutoHyphens w:val="true"/>
              <w:bidi w:val="0"/>
              <w:spacing w:lineRule="auto" w:line="276" w:before="0" w:after="120"/>
              <w:ind w:hanging="0"/>
              <w:rPr>
                <w:color w:val="auto"/>
              </w:rPr>
            </w:pPr>
            <w:r>
              <w:rPr>
                <w:rFonts w:eastAsia="Times New Roman" w:cs="Times New Roman" w:ascii="Rial" w:hAnsi="Rial"/>
                <w:color w:val="auto"/>
                <w:kern w:val="0"/>
                <w:sz w:val="16"/>
                <w:szCs w:val="16"/>
                <w:lang w:val="lt-LT" w:eastAsia="en-US" w:bidi="ar-SA"/>
              </w:rPr>
              <w:t>Laidumas vandeniui</w:t>
            </w:r>
          </w:p>
        </w:tc>
        <w:tc>
          <w:tcPr>
            <w:tcW w:w="7937" w:type="dxa"/>
            <w:tcBorders>
              <w:left w:val="single" w:sz="4" w:space="0" w:color="000000"/>
              <w:bottom w:val="single" w:sz="4" w:space="0" w:color="000000"/>
              <w:right w:val="single" w:sz="4" w:space="0" w:color="000000"/>
            </w:tcBorders>
          </w:tcPr>
          <w:p>
            <w:pPr>
              <w:pStyle w:val="Paprtekstas"/>
              <w:widowControl/>
              <w:suppressAutoHyphens w:val="true"/>
              <w:bidi w:val="0"/>
              <w:spacing w:lineRule="auto" w:line="276" w:before="0" w:after="120"/>
              <w:ind w:hanging="0"/>
              <w:rPr>
                <w:color w:val="auto"/>
              </w:rPr>
            </w:pPr>
            <w:r>
              <w:rPr>
                <w:rFonts w:eastAsia="Times New Roman" w:cs="Times New Roman" w:ascii="Rial" w:hAnsi="Rial"/>
                <w:color w:val="auto"/>
                <w:kern w:val="0"/>
                <w:sz w:val="16"/>
                <w:szCs w:val="16"/>
                <w:lang w:val="lt-LT" w:eastAsia="en-US" w:bidi="ar-SA"/>
              </w:rPr>
              <w:t xml:space="preserve"> </w:t>
            </w:r>
            <w:r>
              <w:rPr>
                <w:rFonts w:eastAsia="Times New Roman" w:cs="Times New Roman" w:ascii="Rial" w:hAnsi="Rial"/>
                <w:color w:val="auto"/>
                <w:kern w:val="0"/>
                <w:sz w:val="16"/>
                <w:szCs w:val="16"/>
                <w:lang w:val="lt-LT" w:eastAsia="en-US" w:bidi="ar-SA"/>
              </w:rPr>
              <w:t>0,15 cm/s</w:t>
            </w:r>
          </w:p>
        </w:tc>
      </w:tr>
      <w:tr>
        <w:trPr/>
        <w:tc>
          <w:tcPr>
            <w:tcW w:w="2263" w:type="dxa"/>
            <w:tcBorders>
              <w:left w:val="single" w:sz="4" w:space="0" w:color="000000"/>
              <w:bottom w:val="single" w:sz="4" w:space="0" w:color="000000"/>
            </w:tcBorders>
          </w:tcPr>
          <w:p>
            <w:pPr>
              <w:pStyle w:val="Paprtekstas"/>
              <w:widowControl/>
              <w:suppressAutoHyphens w:val="true"/>
              <w:bidi w:val="0"/>
              <w:spacing w:lineRule="auto" w:line="276" w:before="0" w:after="120"/>
              <w:ind w:hanging="0"/>
              <w:rPr>
                <w:color w:val="auto"/>
              </w:rPr>
            </w:pPr>
            <w:r>
              <w:rPr>
                <w:rFonts w:eastAsia="Times New Roman" w:cs="Times New Roman" w:ascii="Rial" w:hAnsi="Rial"/>
                <w:color w:val="auto"/>
                <w:kern w:val="0"/>
                <w:sz w:val="16"/>
                <w:szCs w:val="16"/>
                <w:lang w:val="lt-LT" w:eastAsia="en-US" w:bidi="ar-SA"/>
              </w:rPr>
              <w:t>Kamuolio atšokimas</w:t>
            </w:r>
          </w:p>
        </w:tc>
        <w:tc>
          <w:tcPr>
            <w:tcW w:w="7937" w:type="dxa"/>
            <w:tcBorders>
              <w:left w:val="single" w:sz="4" w:space="0" w:color="000000"/>
              <w:bottom w:val="single" w:sz="4" w:space="0" w:color="000000"/>
              <w:right w:val="single" w:sz="4" w:space="0" w:color="000000"/>
            </w:tcBorders>
          </w:tcPr>
          <w:p>
            <w:pPr>
              <w:pStyle w:val="Paprtekstas"/>
              <w:widowControl/>
              <w:suppressAutoHyphens w:val="true"/>
              <w:bidi w:val="0"/>
              <w:spacing w:lineRule="auto" w:line="276" w:before="0" w:after="120"/>
              <w:ind w:hanging="0"/>
              <w:rPr>
                <w:color w:val="auto"/>
              </w:rPr>
            </w:pPr>
            <w:r>
              <w:rPr>
                <w:rFonts w:eastAsia="Times New Roman" w:cs="Times New Roman" w:ascii="Rial" w:hAnsi="Rial"/>
                <w:color w:val="auto"/>
                <w:kern w:val="0"/>
                <w:sz w:val="16"/>
                <w:szCs w:val="16"/>
                <w:lang w:val="lt-LT" w:eastAsia="en-US" w:bidi="ar-SA"/>
              </w:rPr>
              <w:t xml:space="preserve"> </w:t>
            </w:r>
            <w:r>
              <w:rPr>
                <w:rFonts w:eastAsia="Times New Roman" w:cs="Times New Roman" w:ascii="Rial" w:hAnsi="Rial"/>
                <w:color w:val="auto"/>
                <w:kern w:val="0"/>
                <w:sz w:val="16"/>
                <w:szCs w:val="16"/>
                <w:lang w:val="lt-LT" w:eastAsia="en-US" w:bidi="ar-SA"/>
              </w:rPr>
              <w:t>99 %</w:t>
            </w:r>
          </w:p>
        </w:tc>
      </w:tr>
      <w:tr>
        <w:trPr/>
        <w:tc>
          <w:tcPr>
            <w:tcW w:w="2263" w:type="dxa"/>
            <w:tcBorders>
              <w:left w:val="single" w:sz="4" w:space="0" w:color="000000"/>
              <w:bottom w:val="single" w:sz="4" w:space="0" w:color="000000"/>
            </w:tcBorders>
          </w:tcPr>
          <w:p>
            <w:pPr>
              <w:pStyle w:val="Paprtekstas"/>
              <w:widowControl/>
              <w:suppressAutoHyphens w:val="true"/>
              <w:bidi w:val="0"/>
              <w:spacing w:lineRule="auto" w:line="276" w:before="0" w:after="120"/>
              <w:ind w:hanging="0"/>
              <w:rPr>
                <w:color w:val="auto"/>
              </w:rPr>
            </w:pPr>
            <w:r>
              <w:rPr>
                <w:rFonts w:eastAsia="Times New Roman" w:cs="Times New Roman" w:ascii="Rial" w:hAnsi="Rial"/>
                <w:color w:val="auto"/>
                <w:kern w:val="0"/>
                <w:sz w:val="16"/>
                <w:szCs w:val="16"/>
                <w:lang w:val="lt-LT" w:eastAsia="en-US" w:bidi="ar-SA"/>
              </w:rPr>
              <w:t>Deformacija</w:t>
            </w:r>
          </w:p>
        </w:tc>
        <w:tc>
          <w:tcPr>
            <w:tcW w:w="7937" w:type="dxa"/>
            <w:tcBorders>
              <w:left w:val="single" w:sz="4" w:space="0" w:color="000000"/>
              <w:bottom w:val="single" w:sz="4" w:space="0" w:color="000000"/>
              <w:right w:val="single" w:sz="4" w:space="0" w:color="000000"/>
            </w:tcBorders>
          </w:tcPr>
          <w:p>
            <w:pPr>
              <w:pStyle w:val="Paprtekstas"/>
              <w:widowControl/>
              <w:suppressAutoHyphens w:val="true"/>
              <w:bidi w:val="0"/>
              <w:spacing w:lineRule="auto" w:line="276" w:before="0" w:after="120"/>
              <w:ind w:hanging="0"/>
              <w:rPr>
                <w:color w:val="auto"/>
              </w:rPr>
            </w:pPr>
            <w:r>
              <w:rPr>
                <w:rFonts w:eastAsia="Times New Roman" w:cs="Times New Roman" w:ascii="Rial" w:hAnsi="Rial"/>
                <w:color w:val="auto"/>
                <w:kern w:val="0"/>
                <w:sz w:val="16"/>
                <w:szCs w:val="16"/>
                <w:lang w:val="lt-LT" w:eastAsia="en-US" w:bidi="ar-SA"/>
              </w:rPr>
              <w:t>5 mm</w:t>
            </w:r>
          </w:p>
        </w:tc>
      </w:tr>
    </w:tbl>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r>
    </w:p>
    <w:p>
      <w:pPr>
        <w:pStyle w:val="Caption"/>
        <w:keepNext w:val="true"/>
        <w:rPr>
          <w:color w:val="auto"/>
        </w:rPr>
      </w:pPr>
      <w:r>
        <w:rPr>
          <w:color w:val="auto"/>
        </w:rPr>
        <w:t>EPDM liejamos dangos storio priklausomybė nuo kritimo aukščio</w:t>
      </w:r>
    </w:p>
    <w:tbl>
      <w:tblPr>
        <w:tblW w:w="5000" w:type="pct"/>
        <w:jc w:val="left"/>
        <w:tblInd w:w="55" w:type="dxa"/>
        <w:tblLayout w:type="fixed"/>
        <w:tblCellMar>
          <w:top w:w="55" w:type="dxa"/>
          <w:left w:w="55" w:type="dxa"/>
          <w:bottom w:w="55" w:type="dxa"/>
          <w:right w:w="55" w:type="dxa"/>
        </w:tblCellMar>
      </w:tblPr>
      <w:tblGrid>
        <w:gridCol w:w="3401"/>
        <w:gridCol w:w="3402"/>
        <w:gridCol w:w="3402"/>
      </w:tblGrid>
      <w:tr>
        <w:trPr/>
        <w:tc>
          <w:tcPr>
            <w:tcW w:w="3401" w:type="dxa"/>
            <w:tcBorders>
              <w:top w:val="single" w:sz="4" w:space="0" w:color="000000"/>
              <w:left w:val="single" w:sz="4" w:space="0" w:color="000000"/>
              <w:bottom w:val="single" w:sz="4" w:space="0" w:color="000000"/>
            </w:tcBorders>
          </w:tcPr>
          <w:p>
            <w:pPr>
              <w:pStyle w:val="Lentelsturinys"/>
              <w:spacing w:before="0" w:after="200"/>
              <w:rPr>
                <w:color w:val="auto"/>
              </w:rPr>
            </w:pPr>
            <w:r>
              <w:rPr>
                <w:rFonts w:ascii="Arial" w:hAnsi="Arial"/>
                <w:b/>
                <w:bCs/>
                <w:color w:val="auto"/>
                <w:sz w:val="16"/>
                <w:szCs w:val="16"/>
              </w:rPr>
              <w:t>Sistemos storis</w:t>
            </w:r>
          </w:p>
        </w:tc>
        <w:tc>
          <w:tcPr>
            <w:tcW w:w="3402" w:type="dxa"/>
            <w:tcBorders>
              <w:top w:val="single" w:sz="4" w:space="0" w:color="000000"/>
              <w:left w:val="single" w:sz="4" w:space="0" w:color="000000"/>
              <w:bottom w:val="single" w:sz="4" w:space="0" w:color="000000"/>
            </w:tcBorders>
          </w:tcPr>
          <w:p>
            <w:pPr>
              <w:pStyle w:val="Lentelsturinys"/>
              <w:spacing w:before="0" w:after="200"/>
              <w:rPr>
                <w:color w:val="auto"/>
              </w:rPr>
            </w:pPr>
            <w:r>
              <w:rPr>
                <w:rFonts w:ascii="Arial" w:hAnsi="Arial"/>
                <w:b/>
                <w:bCs/>
                <w:color w:val="auto"/>
                <w:sz w:val="16"/>
                <w:szCs w:val="16"/>
              </w:rPr>
              <w:t>Kritimo aukštis</w:t>
            </w:r>
          </w:p>
        </w:tc>
        <w:tc>
          <w:tcPr>
            <w:tcW w:w="3402" w:type="dxa"/>
            <w:tcBorders>
              <w:top w:val="single" w:sz="4" w:space="0" w:color="000000"/>
              <w:left w:val="single" w:sz="4" w:space="0" w:color="000000"/>
              <w:bottom w:val="single" w:sz="4" w:space="0" w:color="000000"/>
              <w:right w:val="single" w:sz="4" w:space="0" w:color="000000"/>
            </w:tcBorders>
          </w:tcPr>
          <w:p>
            <w:pPr>
              <w:pStyle w:val="Lentelsturinys"/>
              <w:spacing w:before="0" w:after="200"/>
              <w:rPr>
                <w:color w:val="auto"/>
              </w:rPr>
            </w:pPr>
            <w:r>
              <w:rPr>
                <w:rFonts w:ascii="Arial" w:hAnsi="Arial"/>
                <w:b/>
                <w:bCs/>
                <w:color w:val="auto"/>
                <w:sz w:val="16"/>
                <w:szCs w:val="16"/>
              </w:rPr>
              <w:t>Svoris/m</w:t>
            </w:r>
            <w:r>
              <w:rPr>
                <w:rFonts w:ascii="Arial" w:hAnsi="Arial"/>
                <w:b/>
                <w:bCs/>
                <w:color w:val="auto"/>
                <w:sz w:val="16"/>
                <w:szCs w:val="16"/>
                <w:vertAlign w:val="superscript"/>
              </w:rPr>
              <w:t>2</w:t>
            </w:r>
          </w:p>
        </w:tc>
      </w:tr>
      <w:tr>
        <w:trPr/>
        <w:tc>
          <w:tcPr>
            <w:tcW w:w="340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40mm (SBR 30mm + EPDM 10mm</w:t>
            </w:r>
          </w:p>
        </w:tc>
        <w:tc>
          <w:tcPr>
            <w:tcW w:w="3402"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Iki 1,50 m</w:t>
            </w:r>
          </w:p>
        </w:tc>
        <w:tc>
          <w:tcPr>
            <w:tcW w:w="3402" w:type="dxa"/>
            <w:tcBorders>
              <w:left w:val="single" w:sz="4" w:space="0" w:color="000000"/>
              <w:bottom w:val="single" w:sz="4" w:space="0" w:color="000000"/>
              <w:right w:val="single" w:sz="4" w:space="0" w:color="000000"/>
            </w:tcBorders>
          </w:tcPr>
          <w:p>
            <w:pPr>
              <w:pStyle w:val="Lentelsturinys"/>
              <w:spacing w:before="0" w:after="200"/>
              <w:rPr>
                <w:color w:val="auto"/>
              </w:rPr>
            </w:pPr>
            <w:r>
              <w:rPr>
                <w:rFonts w:ascii="Arial" w:hAnsi="Arial"/>
                <w:color w:val="auto"/>
                <w:sz w:val="16"/>
                <w:szCs w:val="16"/>
              </w:rPr>
              <w:t>34 kg</w:t>
            </w:r>
          </w:p>
        </w:tc>
      </w:tr>
      <w:tr>
        <w:trPr>
          <w:trHeight w:val="407" w:hRule="atLeast"/>
        </w:trPr>
        <w:tc>
          <w:tcPr>
            <w:tcW w:w="340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60mm (SBR 50mm + EPDM 10mm)</w:t>
            </w:r>
          </w:p>
        </w:tc>
        <w:tc>
          <w:tcPr>
            <w:tcW w:w="3402"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Iki 2,0 m</w:t>
            </w:r>
          </w:p>
        </w:tc>
        <w:tc>
          <w:tcPr>
            <w:tcW w:w="3402" w:type="dxa"/>
            <w:tcBorders>
              <w:left w:val="single" w:sz="4" w:space="0" w:color="000000"/>
              <w:bottom w:val="single" w:sz="4" w:space="0" w:color="000000"/>
              <w:right w:val="single" w:sz="4" w:space="0" w:color="000000"/>
            </w:tcBorders>
          </w:tcPr>
          <w:p>
            <w:pPr>
              <w:pStyle w:val="Lentelsturinys"/>
              <w:spacing w:before="0" w:after="200"/>
              <w:rPr>
                <w:color w:val="auto"/>
              </w:rPr>
            </w:pPr>
            <w:r>
              <w:rPr>
                <w:rFonts w:ascii="Arial" w:hAnsi="Arial"/>
                <w:color w:val="auto"/>
                <w:sz w:val="16"/>
                <w:szCs w:val="16"/>
              </w:rPr>
              <w:t>45 kg</w:t>
            </w:r>
          </w:p>
        </w:tc>
      </w:tr>
      <w:tr>
        <w:trPr>
          <w:trHeight w:val="398" w:hRule="atLeast"/>
        </w:trPr>
        <w:tc>
          <w:tcPr>
            <w:tcW w:w="340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80mm (SBR 70mm + EPDM 10mm)</w:t>
            </w:r>
          </w:p>
        </w:tc>
        <w:tc>
          <w:tcPr>
            <w:tcW w:w="3402"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Iki 2,4 m</w:t>
            </w:r>
          </w:p>
        </w:tc>
        <w:tc>
          <w:tcPr>
            <w:tcW w:w="3402" w:type="dxa"/>
            <w:tcBorders>
              <w:left w:val="single" w:sz="4" w:space="0" w:color="000000"/>
              <w:bottom w:val="single" w:sz="4" w:space="0" w:color="000000"/>
              <w:right w:val="single" w:sz="4" w:space="0" w:color="000000"/>
            </w:tcBorders>
          </w:tcPr>
          <w:p>
            <w:pPr>
              <w:pStyle w:val="Lentelsturinys"/>
              <w:spacing w:before="0" w:after="200"/>
              <w:rPr>
                <w:color w:val="auto"/>
              </w:rPr>
            </w:pPr>
            <w:r>
              <w:rPr>
                <w:rFonts w:ascii="Arial" w:hAnsi="Arial"/>
                <w:color w:val="auto"/>
                <w:sz w:val="16"/>
                <w:szCs w:val="16"/>
              </w:rPr>
              <w:t>56 kg</w:t>
            </w:r>
          </w:p>
        </w:tc>
      </w:tr>
      <w:tr>
        <w:trPr/>
        <w:tc>
          <w:tcPr>
            <w:tcW w:w="340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100mm (SBR 90mm + EPDM 10mm)</w:t>
            </w:r>
          </w:p>
        </w:tc>
        <w:tc>
          <w:tcPr>
            <w:tcW w:w="3402"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Iki 2,8 m</w:t>
            </w:r>
          </w:p>
        </w:tc>
        <w:tc>
          <w:tcPr>
            <w:tcW w:w="3402" w:type="dxa"/>
            <w:tcBorders>
              <w:left w:val="single" w:sz="4" w:space="0" w:color="000000"/>
              <w:bottom w:val="single" w:sz="4" w:space="0" w:color="000000"/>
              <w:right w:val="single" w:sz="4" w:space="0" w:color="000000"/>
            </w:tcBorders>
          </w:tcPr>
          <w:p>
            <w:pPr>
              <w:pStyle w:val="Lentelsturinys"/>
              <w:spacing w:before="0" w:after="200"/>
              <w:rPr>
                <w:color w:val="auto"/>
              </w:rPr>
            </w:pPr>
            <w:r>
              <w:rPr>
                <w:rFonts w:ascii="Arial" w:hAnsi="Arial"/>
                <w:color w:val="auto"/>
                <w:sz w:val="16"/>
                <w:szCs w:val="16"/>
              </w:rPr>
              <w:t>70 kg</w:t>
            </w:r>
          </w:p>
        </w:tc>
      </w:tr>
      <w:tr>
        <w:trPr/>
        <w:tc>
          <w:tcPr>
            <w:tcW w:w="340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120mm (SBR 110mm + EPDM 10mm)</w:t>
            </w:r>
          </w:p>
        </w:tc>
        <w:tc>
          <w:tcPr>
            <w:tcW w:w="3402"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Iki 3,0 m</w:t>
            </w:r>
          </w:p>
        </w:tc>
        <w:tc>
          <w:tcPr>
            <w:tcW w:w="3402" w:type="dxa"/>
            <w:tcBorders>
              <w:left w:val="single" w:sz="4" w:space="0" w:color="000000"/>
              <w:bottom w:val="single" w:sz="4" w:space="0" w:color="000000"/>
              <w:right w:val="single" w:sz="4" w:space="0" w:color="000000"/>
            </w:tcBorders>
          </w:tcPr>
          <w:p>
            <w:pPr>
              <w:pStyle w:val="Lentelsturinys"/>
              <w:spacing w:before="0" w:after="200"/>
              <w:rPr>
                <w:color w:val="auto"/>
              </w:rPr>
            </w:pPr>
            <w:r>
              <w:rPr>
                <w:rFonts w:ascii="Arial" w:hAnsi="Arial"/>
                <w:color w:val="auto"/>
                <w:sz w:val="16"/>
                <w:szCs w:val="16"/>
              </w:rPr>
              <w:t>80 kg</w:t>
            </w:r>
          </w:p>
        </w:tc>
      </w:tr>
    </w:tbl>
    <w:p>
      <w:pPr>
        <w:pStyle w:val="Caption"/>
        <w:keepNext w:val="true"/>
        <w:rPr>
          <w:color w:val="auto"/>
        </w:rPr>
      </w:pPr>
      <w:r>
        <w:rPr>
          <w:color w:val="auto"/>
        </w:rPr>
        <w:t>Fizinės ir cheminės SBR granulių savybės</w:t>
      </w:r>
    </w:p>
    <w:tbl>
      <w:tblPr>
        <w:tblW w:w="5000" w:type="pct"/>
        <w:jc w:val="left"/>
        <w:tblInd w:w="55" w:type="dxa"/>
        <w:tblLayout w:type="fixed"/>
        <w:tblCellMar>
          <w:top w:w="55" w:type="dxa"/>
          <w:left w:w="55" w:type="dxa"/>
          <w:bottom w:w="55" w:type="dxa"/>
          <w:right w:w="55" w:type="dxa"/>
        </w:tblCellMar>
      </w:tblPr>
      <w:tblGrid>
        <w:gridCol w:w="2551"/>
        <w:gridCol w:w="2551"/>
        <w:gridCol w:w="2551"/>
        <w:gridCol w:w="2552"/>
      </w:tblGrid>
      <w:tr>
        <w:trPr/>
        <w:tc>
          <w:tcPr>
            <w:tcW w:w="2551" w:type="dxa"/>
            <w:tcBorders>
              <w:top w:val="single" w:sz="4" w:space="0" w:color="000000"/>
              <w:left w:val="single" w:sz="4" w:space="0" w:color="000000"/>
              <w:bottom w:val="single" w:sz="4" w:space="0" w:color="000000"/>
            </w:tcBorders>
          </w:tcPr>
          <w:p>
            <w:pPr>
              <w:pStyle w:val="Lentelsturinys"/>
              <w:spacing w:before="0" w:after="200"/>
              <w:rPr>
                <w:color w:val="auto"/>
              </w:rPr>
            </w:pPr>
            <w:r>
              <w:rPr>
                <w:rFonts w:ascii="Arial\" w:hAnsi="Arial\"/>
                <w:b/>
                <w:bCs/>
                <w:color w:val="auto"/>
                <w:sz w:val="16"/>
                <w:szCs w:val="16"/>
              </w:rPr>
              <w:t>Aprašymas</w:t>
            </w:r>
          </w:p>
        </w:tc>
        <w:tc>
          <w:tcPr>
            <w:tcW w:w="2551" w:type="dxa"/>
            <w:tcBorders>
              <w:top w:val="single" w:sz="4" w:space="0" w:color="000000"/>
              <w:left w:val="single" w:sz="4" w:space="0" w:color="000000"/>
              <w:bottom w:val="single" w:sz="4" w:space="0" w:color="000000"/>
            </w:tcBorders>
          </w:tcPr>
          <w:p>
            <w:pPr>
              <w:pStyle w:val="Lentelsturinys"/>
              <w:spacing w:before="0" w:after="200"/>
              <w:rPr>
                <w:color w:val="auto"/>
              </w:rPr>
            </w:pPr>
            <w:r>
              <w:rPr>
                <w:rFonts w:ascii="Arial\" w:hAnsi="Arial\"/>
                <w:b/>
                <w:bCs/>
                <w:color w:val="auto"/>
                <w:sz w:val="16"/>
                <w:szCs w:val="16"/>
              </w:rPr>
              <w:t>Kiekis</w:t>
            </w:r>
          </w:p>
        </w:tc>
        <w:tc>
          <w:tcPr>
            <w:tcW w:w="2551" w:type="dxa"/>
            <w:tcBorders>
              <w:top w:val="single" w:sz="4" w:space="0" w:color="000000"/>
              <w:left w:val="single" w:sz="4" w:space="0" w:color="000000"/>
              <w:bottom w:val="single" w:sz="4" w:space="0" w:color="000000"/>
            </w:tcBorders>
          </w:tcPr>
          <w:p>
            <w:pPr>
              <w:pStyle w:val="Lentelsturinys"/>
              <w:spacing w:before="0" w:after="200"/>
              <w:rPr>
                <w:color w:val="auto"/>
              </w:rPr>
            </w:pPr>
            <w:r>
              <w:rPr>
                <w:rFonts w:ascii="Arial\" w:hAnsi="Arial\"/>
                <w:b/>
                <w:bCs/>
                <w:color w:val="auto"/>
                <w:sz w:val="16"/>
                <w:szCs w:val="16"/>
              </w:rPr>
              <w:t>Vienetai</w:t>
            </w:r>
          </w:p>
        </w:tc>
        <w:tc>
          <w:tcPr>
            <w:tcW w:w="2552" w:type="dxa"/>
            <w:tcBorders>
              <w:top w:val="single" w:sz="4" w:space="0" w:color="000000"/>
              <w:left w:val="single" w:sz="4" w:space="0" w:color="000000"/>
              <w:bottom w:val="single" w:sz="4" w:space="0" w:color="000000"/>
              <w:right w:val="single" w:sz="4" w:space="0" w:color="000000"/>
            </w:tcBorders>
          </w:tcPr>
          <w:p>
            <w:pPr>
              <w:pStyle w:val="Lentelsturinys"/>
              <w:spacing w:before="0" w:after="200"/>
              <w:rPr>
                <w:color w:val="auto"/>
              </w:rPr>
            </w:pPr>
            <w:r>
              <w:rPr>
                <w:rFonts w:ascii="Arial\" w:hAnsi="Arial\"/>
                <w:b/>
                <w:bCs/>
                <w:color w:val="auto"/>
                <w:sz w:val="16"/>
                <w:szCs w:val="16"/>
              </w:rPr>
              <w:t>Standartas</w:t>
            </w:r>
          </w:p>
        </w:tc>
      </w:tr>
      <w:tr>
        <w:trPr>
          <w:trHeight w:val="369" w:hRule="atLeast"/>
        </w:trPr>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Tankis</w:t>
            </w:r>
          </w:p>
        </w:tc>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470</w:t>
            </w:r>
          </w:p>
        </w:tc>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g/m</w:t>
            </w:r>
            <w:r>
              <w:rPr>
                <w:rFonts w:ascii="Arial\" w:hAnsi="Arial\"/>
                <w:color w:val="auto"/>
                <w:sz w:val="16"/>
                <w:szCs w:val="16"/>
                <w:vertAlign w:val="superscript"/>
              </w:rPr>
              <w:t>3</w:t>
            </w:r>
          </w:p>
        </w:tc>
        <w:tc>
          <w:tcPr>
            <w:tcW w:w="2552" w:type="dxa"/>
            <w:tcBorders>
              <w:left w:val="single" w:sz="4" w:space="0" w:color="000000"/>
              <w:bottom w:val="single" w:sz="4" w:space="0" w:color="000000"/>
              <w:right w:val="single" w:sz="4" w:space="0" w:color="000000"/>
            </w:tcBorders>
          </w:tcPr>
          <w:p>
            <w:pPr>
              <w:pStyle w:val="Lentelsturinys"/>
              <w:spacing w:before="0" w:after="200"/>
              <w:rPr>
                <w:color w:val="auto"/>
              </w:rPr>
            </w:pPr>
            <w:r>
              <w:rPr>
                <w:rFonts w:ascii="Arial\" w:hAnsi="Arial\"/>
                <w:color w:val="auto"/>
                <w:sz w:val="16"/>
                <w:szCs w:val="16"/>
              </w:rPr>
              <w:t>DIN EN ISO 60</w:t>
            </w:r>
          </w:p>
        </w:tc>
      </w:tr>
      <w:tr>
        <w:trPr/>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Peleningumas</w:t>
            </w:r>
          </w:p>
        </w:tc>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50</w:t>
            </w:r>
          </w:p>
        </w:tc>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w:t>
            </w:r>
          </w:p>
        </w:tc>
        <w:tc>
          <w:tcPr>
            <w:tcW w:w="2552" w:type="dxa"/>
            <w:tcBorders>
              <w:left w:val="single" w:sz="4" w:space="0" w:color="000000"/>
              <w:bottom w:val="single" w:sz="4" w:space="0" w:color="000000"/>
              <w:right w:val="single" w:sz="4" w:space="0" w:color="000000"/>
            </w:tcBorders>
          </w:tcPr>
          <w:p>
            <w:pPr>
              <w:pStyle w:val="Lentelsturinys"/>
              <w:spacing w:before="0" w:after="200"/>
              <w:rPr>
                <w:color w:val="auto"/>
              </w:rPr>
            </w:pPr>
            <w:r>
              <w:rPr>
                <w:rFonts w:ascii="Arial\" w:hAnsi="Arial\"/>
                <w:color w:val="auto"/>
                <w:sz w:val="16"/>
                <w:szCs w:val="16"/>
              </w:rPr>
              <w:t>PN-81 /C-04240</w:t>
            </w:r>
          </w:p>
        </w:tc>
      </w:tr>
      <w:tr>
        <w:trPr/>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Frakcija 2 mm</w:t>
            </w:r>
          </w:p>
        </w:tc>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3</w:t>
            </w:r>
          </w:p>
        </w:tc>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w:t>
            </w:r>
          </w:p>
        </w:tc>
        <w:tc>
          <w:tcPr>
            <w:tcW w:w="2552" w:type="dxa"/>
            <w:tcBorders>
              <w:left w:val="single" w:sz="4" w:space="0" w:color="000000"/>
              <w:bottom w:val="single" w:sz="4" w:space="0" w:color="000000"/>
              <w:right w:val="single" w:sz="4" w:space="0" w:color="000000"/>
            </w:tcBorders>
          </w:tcPr>
          <w:p>
            <w:pPr>
              <w:pStyle w:val="Lentelsturinys"/>
              <w:spacing w:before="0" w:after="200"/>
              <w:rPr>
                <w:color w:val="auto"/>
              </w:rPr>
            </w:pPr>
            <w:r>
              <w:rPr>
                <w:rFonts w:ascii="Arial\" w:hAnsi="Arial\"/>
                <w:color w:val="auto"/>
                <w:sz w:val="16"/>
                <w:szCs w:val="16"/>
              </w:rPr>
              <w:t>PN-71 /C-04501</w:t>
            </w:r>
          </w:p>
        </w:tc>
      </w:tr>
      <w:tr>
        <w:trPr/>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Frakcija 6 mm</w:t>
            </w:r>
          </w:p>
        </w:tc>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10</w:t>
            </w:r>
          </w:p>
        </w:tc>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w:t>
            </w:r>
          </w:p>
        </w:tc>
        <w:tc>
          <w:tcPr>
            <w:tcW w:w="2552" w:type="dxa"/>
            <w:tcBorders>
              <w:left w:val="single" w:sz="4" w:space="0" w:color="000000"/>
              <w:bottom w:val="single" w:sz="4" w:space="0" w:color="000000"/>
              <w:right w:val="single" w:sz="4" w:space="0" w:color="000000"/>
            </w:tcBorders>
          </w:tcPr>
          <w:p>
            <w:pPr>
              <w:pStyle w:val="Lentelsturinys"/>
              <w:spacing w:before="0" w:after="200"/>
              <w:rPr>
                <w:color w:val="auto"/>
              </w:rPr>
            </w:pPr>
            <w:r>
              <w:rPr>
                <w:rFonts w:ascii="Arial\" w:hAnsi="Arial\"/>
                <w:color w:val="auto"/>
                <w:sz w:val="16"/>
                <w:szCs w:val="16"/>
              </w:rPr>
              <w:t>PN-71 /C-04501</w:t>
            </w:r>
          </w:p>
        </w:tc>
      </w:tr>
    </w:tbl>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r>
    </w:p>
    <w:p>
      <w:pPr>
        <w:pStyle w:val="Caption"/>
        <w:keepNext w:val="true"/>
        <w:rPr>
          <w:color w:val="auto"/>
        </w:rPr>
      </w:pPr>
      <w:r>
        <w:rPr>
          <w:color w:val="auto"/>
        </w:rPr>
        <w:t>Fizinės ir cheminės EPDM granulių savybės</w:t>
      </w:r>
    </w:p>
    <w:tbl>
      <w:tblPr>
        <w:tblW w:w="5000" w:type="pct"/>
        <w:jc w:val="left"/>
        <w:tblInd w:w="55" w:type="dxa"/>
        <w:tblLayout w:type="fixed"/>
        <w:tblCellMar>
          <w:top w:w="55" w:type="dxa"/>
          <w:left w:w="55" w:type="dxa"/>
          <w:bottom w:w="55" w:type="dxa"/>
          <w:right w:w="55" w:type="dxa"/>
        </w:tblCellMar>
      </w:tblPr>
      <w:tblGrid>
        <w:gridCol w:w="2551"/>
        <w:gridCol w:w="2551"/>
        <w:gridCol w:w="2551"/>
        <w:gridCol w:w="2552"/>
      </w:tblGrid>
      <w:tr>
        <w:trPr/>
        <w:tc>
          <w:tcPr>
            <w:tcW w:w="2551" w:type="dxa"/>
            <w:tcBorders>
              <w:top w:val="single" w:sz="4" w:space="0" w:color="000000"/>
              <w:left w:val="single" w:sz="4" w:space="0" w:color="000000"/>
              <w:bottom w:val="single" w:sz="4" w:space="0" w:color="000000"/>
            </w:tcBorders>
          </w:tcPr>
          <w:p>
            <w:pPr>
              <w:pStyle w:val="Lentelsturinys"/>
              <w:spacing w:before="0" w:after="200"/>
              <w:rPr>
                <w:color w:val="auto"/>
              </w:rPr>
            </w:pPr>
            <w:r>
              <w:rPr>
                <w:rFonts w:ascii="Arial" w:hAnsi="Arial"/>
                <w:b/>
                <w:bCs/>
                <w:color w:val="auto"/>
                <w:sz w:val="16"/>
                <w:szCs w:val="16"/>
              </w:rPr>
              <w:t>Aprašymas</w:t>
            </w:r>
          </w:p>
        </w:tc>
        <w:tc>
          <w:tcPr>
            <w:tcW w:w="2551" w:type="dxa"/>
            <w:tcBorders>
              <w:top w:val="single" w:sz="4" w:space="0" w:color="000000"/>
              <w:left w:val="single" w:sz="4" w:space="0" w:color="000000"/>
              <w:bottom w:val="single" w:sz="4" w:space="0" w:color="000000"/>
            </w:tcBorders>
          </w:tcPr>
          <w:p>
            <w:pPr>
              <w:pStyle w:val="Lentelsturinys"/>
              <w:spacing w:before="0" w:after="200"/>
              <w:rPr>
                <w:color w:val="auto"/>
              </w:rPr>
            </w:pPr>
            <w:r>
              <w:rPr>
                <w:rFonts w:ascii="Arial" w:hAnsi="Arial"/>
                <w:b/>
                <w:bCs/>
                <w:color w:val="auto"/>
                <w:sz w:val="16"/>
                <w:szCs w:val="16"/>
              </w:rPr>
              <w:t>Kiekis</w:t>
            </w:r>
          </w:p>
        </w:tc>
        <w:tc>
          <w:tcPr>
            <w:tcW w:w="2551" w:type="dxa"/>
            <w:tcBorders>
              <w:top w:val="single" w:sz="4" w:space="0" w:color="000000"/>
              <w:left w:val="single" w:sz="4" w:space="0" w:color="000000"/>
              <w:bottom w:val="single" w:sz="4" w:space="0" w:color="000000"/>
            </w:tcBorders>
          </w:tcPr>
          <w:p>
            <w:pPr>
              <w:pStyle w:val="Lentelsturinys"/>
              <w:spacing w:before="0" w:after="200"/>
              <w:rPr>
                <w:color w:val="auto"/>
              </w:rPr>
            </w:pPr>
            <w:r>
              <w:rPr>
                <w:rFonts w:ascii="Arial" w:hAnsi="Arial"/>
                <w:b/>
                <w:bCs/>
                <w:color w:val="auto"/>
                <w:sz w:val="16"/>
                <w:szCs w:val="16"/>
              </w:rPr>
              <w:t>Vienetai</w:t>
            </w:r>
          </w:p>
        </w:tc>
        <w:tc>
          <w:tcPr>
            <w:tcW w:w="2552" w:type="dxa"/>
            <w:tcBorders>
              <w:top w:val="single" w:sz="4" w:space="0" w:color="000000"/>
              <w:left w:val="single" w:sz="4" w:space="0" w:color="000000"/>
              <w:bottom w:val="single" w:sz="4" w:space="0" w:color="000000"/>
              <w:right w:val="single" w:sz="4" w:space="0" w:color="000000"/>
            </w:tcBorders>
          </w:tcPr>
          <w:p>
            <w:pPr>
              <w:pStyle w:val="Lentelsturinys"/>
              <w:spacing w:before="0" w:after="200"/>
              <w:rPr>
                <w:color w:val="auto"/>
              </w:rPr>
            </w:pPr>
            <w:r>
              <w:rPr>
                <w:rFonts w:ascii="Arial" w:hAnsi="Arial"/>
                <w:b/>
                <w:bCs/>
                <w:color w:val="auto"/>
                <w:sz w:val="16"/>
                <w:szCs w:val="16"/>
              </w:rPr>
              <w:t>Standartas</w:t>
            </w:r>
          </w:p>
        </w:tc>
      </w:tr>
      <w:tr>
        <w:trPr/>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Stiprumas tempiant</w:t>
            </w:r>
          </w:p>
        </w:tc>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&gt;3,5</w:t>
            </w:r>
          </w:p>
        </w:tc>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MPa</w:t>
            </w:r>
          </w:p>
        </w:tc>
        <w:tc>
          <w:tcPr>
            <w:tcW w:w="2552" w:type="dxa"/>
            <w:tcBorders>
              <w:left w:val="single" w:sz="4" w:space="0" w:color="000000"/>
              <w:bottom w:val="single" w:sz="4" w:space="0" w:color="000000"/>
              <w:right w:val="single" w:sz="4" w:space="0" w:color="000000"/>
            </w:tcBorders>
          </w:tcPr>
          <w:p>
            <w:pPr>
              <w:pStyle w:val="Lentelsturinys"/>
              <w:spacing w:before="0" w:after="200"/>
              <w:rPr>
                <w:color w:val="auto"/>
              </w:rPr>
            </w:pPr>
            <w:r>
              <w:rPr>
                <w:rFonts w:ascii="Arial" w:hAnsi="Arial"/>
                <w:color w:val="auto"/>
                <w:sz w:val="16"/>
                <w:szCs w:val="16"/>
              </w:rPr>
              <w:t>PN-ISO 37</w:t>
            </w:r>
          </w:p>
        </w:tc>
      </w:tr>
      <w:tr>
        <w:trPr/>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Pailgejimas tempiant</w:t>
            </w:r>
          </w:p>
        </w:tc>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&gt;700</w:t>
            </w:r>
          </w:p>
        </w:tc>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w:t>
            </w:r>
          </w:p>
        </w:tc>
        <w:tc>
          <w:tcPr>
            <w:tcW w:w="2552" w:type="dxa"/>
            <w:tcBorders>
              <w:left w:val="single" w:sz="4" w:space="0" w:color="000000"/>
              <w:bottom w:val="single" w:sz="4" w:space="0" w:color="000000"/>
              <w:right w:val="single" w:sz="4" w:space="0" w:color="000000"/>
            </w:tcBorders>
          </w:tcPr>
          <w:p>
            <w:pPr>
              <w:pStyle w:val="Lentelsturinys"/>
              <w:spacing w:before="0" w:after="200"/>
              <w:rPr>
                <w:color w:val="auto"/>
              </w:rPr>
            </w:pPr>
            <w:r>
              <w:rPr>
                <w:rFonts w:ascii="Arial" w:hAnsi="Arial"/>
                <w:color w:val="auto"/>
                <w:sz w:val="16"/>
                <w:szCs w:val="16"/>
              </w:rPr>
              <w:t>DIN 53 504</w:t>
            </w:r>
          </w:p>
        </w:tc>
      </w:tr>
      <w:tr>
        <w:trPr/>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Kietumas</w:t>
            </w:r>
          </w:p>
        </w:tc>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70 ± 5</w:t>
            </w:r>
          </w:p>
        </w:tc>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ShºA</w:t>
            </w:r>
          </w:p>
        </w:tc>
        <w:tc>
          <w:tcPr>
            <w:tcW w:w="2552" w:type="dxa"/>
            <w:tcBorders>
              <w:left w:val="single" w:sz="4" w:space="0" w:color="000000"/>
              <w:bottom w:val="single" w:sz="4" w:space="0" w:color="000000"/>
              <w:right w:val="single" w:sz="4" w:space="0" w:color="000000"/>
            </w:tcBorders>
          </w:tcPr>
          <w:p>
            <w:pPr>
              <w:pStyle w:val="Lentelsturinys"/>
              <w:spacing w:before="0" w:after="200"/>
              <w:rPr>
                <w:color w:val="auto"/>
              </w:rPr>
            </w:pPr>
            <w:r>
              <w:rPr>
                <w:rFonts w:ascii="Arial" w:hAnsi="Arial"/>
                <w:color w:val="auto"/>
                <w:sz w:val="16"/>
                <w:szCs w:val="16"/>
              </w:rPr>
              <w:t>ISO 7619-1</w:t>
            </w:r>
          </w:p>
        </w:tc>
      </w:tr>
      <w:tr>
        <w:trPr/>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Tankis</w:t>
            </w:r>
          </w:p>
        </w:tc>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1,51 ± 0,05</w:t>
            </w:r>
          </w:p>
        </w:tc>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g/cm3</w:t>
            </w:r>
          </w:p>
        </w:tc>
        <w:tc>
          <w:tcPr>
            <w:tcW w:w="2552" w:type="dxa"/>
            <w:tcBorders>
              <w:left w:val="single" w:sz="4" w:space="0" w:color="000000"/>
              <w:bottom w:val="single" w:sz="4" w:space="0" w:color="000000"/>
              <w:right w:val="single" w:sz="4" w:space="0" w:color="000000"/>
            </w:tcBorders>
          </w:tcPr>
          <w:p>
            <w:pPr>
              <w:pStyle w:val="Lentelsturinys"/>
              <w:spacing w:before="0" w:after="200"/>
              <w:rPr>
                <w:color w:val="auto"/>
              </w:rPr>
            </w:pPr>
            <w:r>
              <w:rPr>
                <w:rFonts w:ascii="Arial" w:hAnsi="Arial"/>
                <w:color w:val="auto"/>
                <w:sz w:val="16"/>
                <w:szCs w:val="16"/>
              </w:rPr>
              <w:t>PN-ISO 2781</w:t>
            </w:r>
          </w:p>
        </w:tc>
      </w:tr>
      <w:tr>
        <w:trPr/>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Tūrinis tankis</w:t>
            </w:r>
          </w:p>
        </w:tc>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620 ± 20</w:t>
            </w:r>
          </w:p>
        </w:tc>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g/dm3</w:t>
            </w:r>
          </w:p>
        </w:tc>
        <w:tc>
          <w:tcPr>
            <w:tcW w:w="2552" w:type="dxa"/>
            <w:tcBorders>
              <w:left w:val="single" w:sz="4" w:space="0" w:color="000000"/>
              <w:bottom w:val="single" w:sz="4" w:space="0" w:color="000000"/>
              <w:right w:val="single" w:sz="4" w:space="0" w:color="000000"/>
            </w:tcBorders>
          </w:tcPr>
          <w:p>
            <w:pPr>
              <w:pStyle w:val="Lentelsturinys"/>
              <w:spacing w:before="0" w:after="200"/>
              <w:rPr>
                <w:color w:val="auto"/>
              </w:rPr>
            </w:pPr>
            <w:r>
              <w:rPr>
                <w:rFonts w:ascii="Arial" w:hAnsi="Arial"/>
                <w:color w:val="auto"/>
                <w:sz w:val="16"/>
                <w:szCs w:val="16"/>
              </w:rPr>
              <w:t>PN-ISO 60</w:t>
            </w:r>
          </w:p>
        </w:tc>
      </w:tr>
      <w:tr>
        <w:trPr/>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EPDM gumos kiekis</w:t>
            </w:r>
          </w:p>
        </w:tc>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&gt; 25</w:t>
            </w:r>
          </w:p>
        </w:tc>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w:t>
            </w:r>
          </w:p>
        </w:tc>
        <w:tc>
          <w:tcPr>
            <w:tcW w:w="2552" w:type="dxa"/>
            <w:tcBorders>
              <w:left w:val="single" w:sz="4" w:space="0" w:color="000000"/>
              <w:bottom w:val="single" w:sz="4" w:space="0" w:color="000000"/>
              <w:right w:val="single" w:sz="4" w:space="0" w:color="000000"/>
            </w:tcBorders>
          </w:tcPr>
          <w:p>
            <w:pPr>
              <w:pStyle w:val="Lentelsturinys"/>
              <w:spacing w:before="0" w:after="200"/>
              <w:rPr>
                <w:rFonts w:ascii="Arial" w:hAnsi="Arial"/>
                <w:color w:val="auto"/>
                <w:sz w:val="16"/>
                <w:szCs w:val="16"/>
              </w:rPr>
            </w:pPr>
            <w:r>
              <w:rPr>
                <w:rFonts w:ascii="Arial" w:hAnsi="Arial"/>
                <w:color w:val="auto"/>
                <w:sz w:val="16"/>
                <w:szCs w:val="16"/>
              </w:rPr>
            </w:r>
          </w:p>
        </w:tc>
      </w:tr>
      <w:tr>
        <w:trPr/>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Spalvos stabilumas</w:t>
            </w:r>
          </w:p>
        </w:tc>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4</w:t>
            </w:r>
          </w:p>
        </w:tc>
        <w:tc>
          <w:tcPr>
            <w:tcW w:w="2551" w:type="dxa"/>
            <w:tcBorders>
              <w:left w:val="single" w:sz="4" w:space="0" w:color="000000"/>
              <w:bottom w:val="single" w:sz="4" w:space="0" w:color="000000"/>
            </w:tcBorders>
          </w:tcPr>
          <w:p>
            <w:pPr>
              <w:pStyle w:val="Lentelsturinys"/>
              <w:spacing w:before="0" w:after="200"/>
              <w:rPr>
                <w:rFonts w:ascii="Arial" w:hAnsi="Arial"/>
                <w:color w:val="auto"/>
                <w:sz w:val="16"/>
                <w:szCs w:val="16"/>
              </w:rPr>
            </w:pPr>
            <w:r>
              <w:rPr>
                <w:rFonts w:ascii="Arial" w:hAnsi="Arial"/>
                <w:color w:val="auto"/>
                <w:sz w:val="16"/>
                <w:szCs w:val="16"/>
              </w:rPr>
            </w:r>
          </w:p>
        </w:tc>
        <w:tc>
          <w:tcPr>
            <w:tcW w:w="2552" w:type="dxa"/>
            <w:tcBorders>
              <w:left w:val="single" w:sz="4" w:space="0" w:color="000000"/>
              <w:bottom w:val="single" w:sz="4" w:space="0" w:color="000000"/>
              <w:right w:val="single" w:sz="4" w:space="0" w:color="000000"/>
            </w:tcBorders>
          </w:tcPr>
          <w:p>
            <w:pPr>
              <w:pStyle w:val="Lentelsturinys"/>
              <w:spacing w:before="0" w:after="200"/>
              <w:rPr>
                <w:color w:val="auto"/>
              </w:rPr>
            </w:pPr>
            <w:r>
              <w:rPr>
                <w:rFonts w:ascii="Arial" w:hAnsi="Arial"/>
                <w:color w:val="auto"/>
                <w:sz w:val="16"/>
                <w:szCs w:val="16"/>
              </w:rPr>
              <w:t>DIN EN 20105-A02</w:t>
            </w:r>
          </w:p>
        </w:tc>
      </w:tr>
      <w:tr>
        <w:trPr/>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Degumas</w:t>
            </w:r>
          </w:p>
        </w:tc>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Cfl – s1 klasė</w:t>
            </w:r>
          </w:p>
        </w:tc>
        <w:tc>
          <w:tcPr>
            <w:tcW w:w="2551" w:type="dxa"/>
            <w:tcBorders>
              <w:left w:val="single" w:sz="4" w:space="0" w:color="000000"/>
              <w:bottom w:val="single" w:sz="4" w:space="0" w:color="000000"/>
            </w:tcBorders>
          </w:tcPr>
          <w:p>
            <w:pPr>
              <w:pStyle w:val="Lentelsturinys"/>
              <w:spacing w:before="0" w:after="200"/>
              <w:rPr>
                <w:rFonts w:ascii="Arial" w:hAnsi="Arial"/>
                <w:color w:val="auto"/>
                <w:sz w:val="16"/>
                <w:szCs w:val="16"/>
              </w:rPr>
            </w:pPr>
            <w:r>
              <w:rPr>
                <w:rFonts w:ascii="Arial" w:hAnsi="Arial"/>
                <w:color w:val="auto"/>
                <w:sz w:val="16"/>
                <w:szCs w:val="16"/>
              </w:rPr>
            </w:r>
          </w:p>
        </w:tc>
        <w:tc>
          <w:tcPr>
            <w:tcW w:w="2552" w:type="dxa"/>
            <w:tcBorders>
              <w:left w:val="single" w:sz="4" w:space="0" w:color="000000"/>
              <w:bottom w:val="single" w:sz="4" w:space="0" w:color="000000"/>
              <w:right w:val="single" w:sz="4" w:space="0" w:color="000000"/>
            </w:tcBorders>
          </w:tcPr>
          <w:p>
            <w:pPr>
              <w:pStyle w:val="Lentelsturinys"/>
              <w:spacing w:before="0" w:after="200"/>
              <w:rPr>
                <w:color w:val="auto"/>
              </w:rPr>
            </w:pPr>
            <w:r>
              <w:rPr>
                <w:rFonts w:ascii="Arial" w:hAnsi="Arial"/>
                <w:color w:val="auto"/>
                <w:sz w:val="16"/>
                <w:szCs w:val="16"/>
              </w:rPr>
              <w:t>DIN EN 13501-1</w:t>
            </w:r>
          </w:p>
        </w:tc>
      </w:tr>
    </w:tbl>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r>
    </w:p>
    <w:p>
      <w:pPr>
        <w:pStyle w:val="Paprtekstas"/>
        <w:widowControl/>
        <w:suppressAutoHyphens w:val="true"/>
        <w:bidi w:val="0"/>
        <w:spacing w:lineRule="auto" w:line="276"/>
        <w:rPr>
          <w:color w:val="auto"/>
        </w:rPr>
      </w:pPr>
      <w:r>
        <w:rPr>
          <w:rFonts w:eastAsia="Times New Roman" w:cs="Times New Roman"/>
          <w:i/>
          <w:iCs/>
          <w:color w:val="auto"/>
          <w:kern w:val="0"/>
          <w:szCs w:val="24"/>
          <w:u w:val="single"/>
          <w:lang w:val="lt-LT" w:eastAsia="en-US" w:bidi="ar-SA"/>
        </w:rPr>
        <w:t>EPDM liejamos dangos atsparumas klimatinėms sąlygoms</w:t>
      </w:r>
    </w:p>
    <w:p>
      <w:pPr>
        <w:pStyle w:val="Paprtekstas"/>
        <w:widowControl/>
        <w:suppressAutoHyphens w:val="true"/>
        <w:bidi w:val="0"/>
        <w:spacing w:lineRule="auto" w:line="276"/>
        <w:rPr>
          <w:color w:val="auto"/>
        </w:rPr>
      </w:pPr>
      <w:r>
        <w:rPr>
          <w:rFonts w:eastAsia="Times New Roman" w:cs="Times New Roman"/>
          <w:color w:val="auto"/>
          <w:kern w:val="0"/>
          <w:szCs w:val="24"/>
          <w:u w:val="single"/>
          <w:lang w:val="lt-LT" w:eastAsia="en-US" w:bidi="ar-SA"/>
        </w:rPr>
        <w:t>Atsparumas drėgmei.</w:t>
      </w:r>
      <w:r>
        <w:rPr>
          <w:rFonts w:eastAsia="Times New Roman" w:cs="Times New Roman"/>
          <w:color w:val="auto"/>
          <w:kern w:val="0"/>
          <w:szCs w:val="24"/>
          <w:lang w:val="lt-LT" w:eastAsia="en-US" w:bidi="ar-SA"/>
        </w:rPr>
        <w:t xml:space="preserve"> Ši technologija suteikia neribotas galimybes, įrengiant pralaidžias dangas, nereikalaujančias papildomo drenažo. Dėl aukšto dangos lankstumo, nereikalingos išsiplėtimo jungtys, nepaisant didelio susitraukimo žiemą ir vasarą. Įrengiant žaidimų aikšteles, sporto aikštynus, rampų formas neįgaliesiems ir pan., nereikia išilginio ar skersinio pokrypio, nes paviršius yra laidus vandeniui visomis kryptimis.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Danga yra laidi vandeniui, visas perviršinis vanduo susigeria į gruntą, todėl nereikalingas paviršinio vandens surinkimo trapas. Tačiau, jeigu konkrečioje vietoje yra problemų su drenažu, dangos įrengimas neišspręs stovinčio paviršinio vandens problemos. Nebent pagrindas ir danga yra įrengiami pakėlus aukščiau žemės paviršiaus.</w:t>
      </w:r>
    </w:p>
    <w:p>
      <w:pPr>
        <w:pStyle w:val="Paprtekstas"/>
        <w:widowControl/>
        <w:suppressAutoHyphens w:val="true"/>
        <w:bidi w:val="0"/>
        <w:spacing w:lineRule="auto" w:line="276"/>
        <w:rPr>
          <w:color w:val="auto"/>
        </w:rPr>
      </w:pPr>
      <w:r>
        <w:rPr>
          <w:rFonts w:eastAsia="Times New Roman" w:cs="Times New Roman"/>
          <w:color w:val="auto"/>
          <w:kern w:val="0"/>
          <w:szCs w:val="24"/>
          <w:u w:val="single"/>
          <w:lang w:val="lt-LT" w:eastAsia="en-US" w:bidi="ar-SA"/>
        </w:rPr>
        <w:t xml:space="preserve">UV spindulių įtaka UNISOFT EPDM dangai. </w:t>
      </w:r>
      <w:r>
        <w:rPr>
          <w:rFonts w:eastAsia="Times New Roman" w:cs="Times New Roman"/>
          <w:color w:val="auto"/>
          <w:kern w:val="0"/>
          <w:sz w:val="20"/>
          <w:szCs w:val="24"/>
          <w:lang w:val="lt-LT" w:eastAsia="en-US" w:bidi="ar-SA"/>
        </w:rPr>
        <w:t>MDI poliuretanas, veikiamas ultravioletinių spindulių, keičia spalvą. Dėl to spalvotos granulės gali pakeisti spalvą, bet tai neturi įtakos rišiklio mechaninėms savybėms. Liejant dangas paprastai naudojamas standartinis rišiklis, tačiau šviesioms spalvoms rekomenduojama naudoti UV atsparų rišiklį.</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 xml:space="preserve">Naudojant standartinį rišiklį, veikiant UV spinduliuotei, danga geltonuoja ir šviesios spalvos danga pakeičia spalvą (geltonuoja, žaliuoja). Laikui bėgant rišiklio plėvelė nusidėvi ir danga atgauna pirminę spalvą. </w:t>
      </w:r>
    </w:p>
    <w:p>
      <w:pPr>
        <w:pStyle w:val="Paprtekstas"/>
        <w:widowControl/>
        <w:suppressAutoHyphens w:val="true"/>
        <w:bidi w:val="0"/>
        <w:spacing w:lineRule="auto" w:line="276"/>
        <w:rPr>
          <w:color w:val="auto"/>
        </w:rPr>
      </w:pPr>
      <w:r>
        <w:drawing>
          <wp:anchor behindDoc="0" distT="0" distB="0" distL="0" distR="0" simplePos="0" locked="0" layoutInCell="0" allowOverlap="1" relativeHeight="179">
            <wp:simplePos x="0" y="0"/>
            <wp:positionH relativeFrom="column">
              <wp:posOffset>653415</wp:posOffset>
            </wp:positionH>
            <wp:positionV relativeFrom="paragraph">
              <wp:posOffset>100965</wp:posOffset>
            </wp:positionV>
            <wp:extent cx="5172710" cy="3324860"/>
            <wp:effectExtent l="0" t="0" r="0" b="0"/>
            <wp:wrapSquare wrapText="largest"/>
            <wp:docPr id="6" name="Image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21"/>
                    <pic:cNvPicPr>
                      <a:picLocks noChangeAspect="1" noChangeArrowheads="1"/>
                    </pic:cNvPicPr>
                  </pic:nvPicPr>
                  <pic:blipFill>
                    <a:blip r:embed="rId7"/>
                    <a:stretch>
                      <a:fillRect/>
                    </a:stretch>
                  </pic:blipFill>
                  <pic:spPr bwMode="auto">
                    <a:xfrm>
                      <a:off x="0" y="0"/>
                      <a:ext cx="5172710" cy="3324860"/>
                    </a:xfrm>
                    <a:prstGeom prst="rect">
                      <a:avLst/>
                    </a:prstGeom>
                    <a:noFill/>
                  </pic:spPr>
                </pic:pic>
              </a:graphicData>
            </a:graphic>
          </wp:anchor>
        </w:drawing>
      </w:r>
      <w:r>
        <w:rPr>
          <w:rFonts w:eastAsia="Times New Roman" w:cs="Times New Roman"/>
          <w:color w:val="auto"/>
          <w:kern w:val="0"/>
          <w:szCs w:val="24"/>
          <w:lang w:val="lt-LT" w:eastAsia="en-US" w:bidi="ar-SA"/>
        </w:rPr>
        <w:t>Lentelėje pateikiama, kurioms spalvoms rekomenduojama naudoti UV atsparų rišiklį.</w:t>
      </w:r>
    </w:p>
    <w:p>
      <w:pPr>
        <w:pStyle w:val="Paprtekstas"/>
        <w:widowControl/>
        <w:suppressAutoHyphens w:val="true"/>
        <w:bidi w:val="0"/>
        <w:spacing w:lineRule="auto" w:line="276"/>
        <w:rPr>
          <w:color w:val="auto"/>
        </w:rPr>
      </w:pPr>
      <w:r>
        <w:rPr>
          <w:rFonts w:eastAsia="Times New Roman" w:cs="Times New Roman"/>
          <w:i/>
          <w:iCs/>
          <w:color w:val="auto"/>
          <w:kern w:val="0"/>
          <w:szCs w:val="24"/>
          <w:u w:val="single"/>
          <w:lang w:val="lt-LT" w:eastAsia="en-US" w:bidi="ar-SA"/>
        </w:rPr>
        <w:t>EPDM liejamos dangos montavimas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EPDM liejama guminė danga įrengiama esant 5–40 °C.Pagal oro temperatūras parenkamas reikalingas rišiklis:</w:t>
      </w:r>
    </w:p>
    <w:p>
      <w:pPr>
        <w:pStyle w:val="Paprtekstas"/>
        <w:widowControl/>
        <w:numPr>
          <w:ilvl w:val="0"/>
          <w:numId w:val="7"/>
        </w:numPr>
        <w:suppressAutoHyphens w:val="true"/>
        <w:bidi w:val="0"/>
        <w:spacing w:lineRule="auto" w:line="276"/>
        <w:rPr>
          <w:color w:val="auto"/>
        </w:rPr>
      </w:pPr>
      <w:r>
        <w:rPr>
          <w:rFonts w:eastAsia="Times New Roman" w:cs="Times New Roman"/>
          <w:color w:val="auto"/>
          <w:kern w:val="0"/>
          <w:szCs w:val="24"/>
          <w:lang w:val="lt-LT" w:eastAsia="en-US" w:bidi="ar-SA"/>
        </w:rPr>
        <w:t>PU4232CW rišiklis - produkto kodo paskutinė raidė W (Winter-Žiema) reiškia, kad rišiklis yra skystesnės konsistencijos ir naudojamas, esant žemai temperatūrai. Šis rišiklis naudojamas temperatūroje tarp 5–20 °C.</w:t>
      </w:r>
    </w:p>
    <w:p>
      <w:pPr>
        <w:pStyle w:val="Paprtekstas"/>
        <w:widowControl/>
        <w:numPr>
          <w:ilvl w:val="0"/>
          <w:numId w:val="7"/>
        </w:numPr>
        <w:suppressAutoHyphens w:val="true"/>
        <w:bidi w:val="0"/>
        <w:spacing w:lineRule="auto" w:line="276"/>
        <w:rPr>
          <w:color w:val="auto"/>
        </w:rPr>
      </w:pPr>
      <w:r>
        <w:rPr>
          <w:rFonts w:eastAsia="Times New Roman" w:cs="Times New Roman"/>
          <w:color w:val="auto"/>
          <w:kern w:val="0"/>
          <w:szCs w:val="24"/>
          <w:lang w:val="lt-LT" w:eastAsia="en-US" w:bidi="ar-SA"/>
        </w:rPr>
        <w:t xml:space="preserve">PU4223C rišiklis – S(Summer - Vasara) tinkamas naudoti15–40 °C temperatūroje. </w:t>
      </w:r>
    </w:p>
    <w:p>
      <w:pPr>
        <w:pStyle w:val="Paprtekstas"/>
        <w:widowControl/>
        <w:suppressAutoHyphens w:val="true"/>
        <w:bidi w:val="0"/>
        <w:spacing w:lineRule="auto" w:line="276"/>
        <w:rPr>
          <w:color w:val="auto"/>
        </w:rPr>
      </w:pPr>
      <w:r>
        <w:rPr>
          <w:rFonts w:eastAsia="Times New Roman" w:cs="Times New Roman"/>
          <w:b/>
          <w:bCs/>
          <w:color w:val="auto"/>
          <w:kern w:val="0"/>
          <w:szCs w:val="24"/>
          <w:lang w:val="lt-LT" w:eastAsia="en-US" w:bidi="ar-SA"/>
        </w:rPr>
        <w:t>SVARBU:</w:t>
      </w:r>
      <w:r>
        <w:rPr>
          <w:rFonts w:eastAsia="Times New Roman" w:cs="Times New Roman"/>
          <w:color w:val="auto"/>
          <w:kern w:val="0"/>
          <w:szCs w:val="24"/>
          <w:lang w:val="lt-LT" w:eastAsia="en-US" w:bidi="ar-SA"/>
        </w:rPr>
        <w:t xml:space="preserve"> Lyjant lietui, sningant, esant minusinei temperatūrai, dideliam drėgnumui, danga neįrenginėjama.</w:t>
      </w:r>
    </w:p>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 xml:space="preserve"> </w:t>
      </w:r>
      <w:r>
        <w:rPr>
          <w:rFonts w:eastAsia="Times New Roman" w:cs="Times New Roman"/>
          <w:i/>
          <w:iCs/>
          <w:color w:val="auto"/>
          <w:kern w:val="0"/>
          <w:sz w:val="20"/>
          <w:szCs w:val="24"/>
          <w:u w:val="single"/>
          <w:lang w:val="lt-LT" w:eastAsia="en-US" w:bidi="ar-SA"/>
        </w:rPr>
        <w:t>EPDM liejamos dangos džiūvimo laikas</w:t>
      </w:r>
      <w:r>
        <w:rPr>
          <w:rFonts w:eastAsia="Times New Roman" w:cs="Times New Roman"/>
          <w:color w:val="auto"/>
          <w:kern w:val="0"/>
          <w:szCs w:val="24"/>
          <w:lang w:val="lt-LT" w:eastAsia="en-US" w:bidi="ar-SA"/>
        </w:rPr>
        <w:t>. Išlieta danga turėtų būti palikta džiūti per naktį. Produktas džius ilgiau esant žemesnei temperatūrai ir mažesniam santykiniam drėgnumui. Sluoksnio džiovinimo procesas priklauso nuo drėgmės ir oro temperatūros.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Tam tikrais atvejais, ypač esant žemai temperatūrai, gali prireikti katalizatoriaus, norint padidinti dangos stingimo greitį. Katalizatorius turi būti įpiltas į rišiklį.</w:t>
      </w:r>
    </w:p>
    <w:p>
      <w:pPr>
        <w:pStyle w:val="Caption"/>
        <w:keepNext w:val="true"/>
        <w:rPr>
          <w:color w:val="auto"/>
        </w:rPr>
      </w:pPr>
      <w:r>
        <w:rPr>
          <w:color w:val="auto"/>
        </w:rPr>
        <w:t>Katalizatoriaus lygtis</w:t>
      </w:r>
    </w:p>
    <w:tbl>
      <w:tblPr>
        <w:tblW w:w="5000" w:type="pct"/>
        <w:jc w:val="left"/>
        <w:tblInd w:w="55" w:type="dxa"/>
        <w:tblLayout w:type="fixed"/>
        <w:tblCellMar>
          <w:top w:w="55" w:type="dxa"/>
          <w:left w:w="55" w:type="dxa"/>
          <w:bottom w:w="55" w:type="dxa"/>
          <w:right w:w="55" w:type="dxa"/>
        </w:tblCellMar>
      </w:tblPr>
      <w:tblGrid>
        <w:gridCol w:w="2551"/>
        <w:gridCol w:w="2551"/>
        <w:gridCol w:w="2551"/>
        <w:gridCol w:w="2552"/>
      </w:tblGrid>
      <w:tr>
        <w:trPr/>
        <w:tc>
          <w:tcPr>
            <w:tcW w:w="2551" w:type="dxa"/>
            <w:tcBorders>
              <w:top w:val="single" w:sz="4" w:space="0" w:color="000000"/>
              <w:left w:val="single" w:sz="4" w:space="0" w:color="000000"/>
              <w:bottom w:val="single" w:sz="4" w:space="0" w:color="000000"/>
            </w:tcBorders>
          </w:tcPr>
          <w:p>
            <w:pPr>
              <w:pStyle w:val="Lentelsturinys"/>
              <w:spacing w:before="0" w:after="200"/>
              <w:rPr>
                <w:color w:val="auto"/>
              </w:rPr>
            </w:pPr>
            <w:r>
              <w:rPr>
                <w:rFonts w:ascii="Arial" w:hAnsi="Arial"/>
                <w:b/>
                <w:bCs/>
                <w:color w:val="auto"/>
                <w:sz w:val="16"/>
                <w:szCs w:val="16"/>
              </w:rPr>
              <w:t>Drėgnumas</w:t>
            </w:r>
          </w:p>
        </w:tc>
        <w:tc>
          <w:tcPr>
            <w:tcW w:w="2551" w:type="dxa"/>
            <w:tcBorders>
              <w:top w:val="single" w:sz="4" w:space="0" w:color="000000"/>
              <w:left w:val="single" w:sz="4" w:space="0" w:color="000000"/>
              <w:bottom w:val="single" w:sz="4" w:space="0" w:color="000000"/>
            </w:tcBorders>
          </w:tcPr>
          <w:p>
            <w:pPr>
              <w:pStyle w:val="Lentelsturinys"/>
              <w:spacing w:before="0" w:after="200"/>
              <w:rPr>
                <w:color w:val="auto"/>
              </w:rPr>
            </w:pPr>
            <w:r>
              <w:rPr>
                <w:rFonts w:ascii="Arial" w:hAnsi="Arial"/>
                <w:b/>
                <w:bCs/>
                <w:color w:val="auto"/>
                <w:sz w:val="16"/>
                <w:szCs w:val="16"/>
              </w:rPr>
              <w:t>5</w:t>
            </w:r>
            <w:r>
              <w:rPr>
                <w:rFonts w:ascii="Arial" w:hAnsi="Arial"/>
                <w:b/>
                <w:bCs/>
                <w:color w:val="auto"/>
                <w:sz w:val="16"/>
                <w:szCs w:val="16"/>
                <w:vertAlign w:val="superscript"/>
              </w:rPr>
              <w:t>O</w:t>
            </w:r>
            <w:r>
              <w:rPr>
                <w:rFonts w:ascii="Arial" w:hAnsi="Arial"/>
                <w:b/>
                <w:bCs/>
                <w:color w:val="auto"/>
                <w:sz w:val="16"/>
                <w:szCs w:val="16"/>
              </w:rPr>
              <w:t xml:space="preserve"> C</w:t>
            </w:r>
          </w:p>
        </w:tc>
        <w:tc>
          <w:tcPr>
            <w:tcW w:w="2551" w:type="dxa"/>
            <w:tcBorders>
              <w:top w:val="single" w:sz="4" w:space="0" w:color="000000"/>
              <w:left w:val="single" w:sz="4" w:space="0" w:color="000000"/>
              <w:bottom w:val="single" w:sz="4" w:space="0" w:color="000000"/>
            </w:tcBorders>
          </w:tcPr>
          <w:p>
            <w:pPr>
              <w:pStyle w:val="Lentelsturinys"/>
              <w:spacing w:before="0" w:after="200"/>
              <w:rPr>
                <w:color w:val="auto"/>
              </w:rPr>
            </w:pPr>
            <w:r>
              <w:rPr>
                <w:rFonts w:ascii="Arial" w:hAnsi="Arial"/>
                <w:b/>
                <w:bCs/>
                <w:color w:val="auto"/>
                <w:position w:val="0"/>
                <w:sz w:val="16"/>
                <w:sz w:val="16"/>
                <w:szCs w:val="16"/>
                <w:vertAlign w:val="baseline"/>
              </w:rPr>
              <w:t>10</w:t>
            </w:r>
            <w:r>
              <w:rPr>
                <w:rFonts w:ascii="Arial" w:hAnsi="Arial"/>
                <w:b/>
                <w:bCs/>
                <w:color w:val="auto"/>
                <w:sz w:val="16"/>
                <w:szCs w:val="16"/>
                <w:vertAlign w:val="superscript"/>
              </w:rPr>
              <w:t>O</w:t>
            </w:r>
            <w:r>
              <w:rPr>
                <w:rFonts w:ascii="Arial" w:hAnsi="Arial"/>
                <w:b/>
                <w:bCs/>
                <w:color w:val="auto"/>
                <w:sz w:val="16"/>
                <w:szCs w:val="16"/>
              </w:rPr>
              <w:t xml:space="preserve"> C</w:t>
            </w:r>
          </w:p>
        </w:tc>
        <w:tc>
          <w:tcPr>
            <w:tcW w:w="2552" w:type="dxa"/>
            <w:tcBorders>
              <w:top w:val="single" w:sz="4" w:space="0" w:color="000000"/>
              <w:left w:val="single" w:sz="4" w:space="0" w:color="000000"/>
              <w:bottom w:val="single" w:sz="4" w:space="0" w:color="000000"/>
              <w:right w:val="single" w:sz="4" w:space="0" w:color="000000"/>
            </w:tcBorders>
          </w:tcPr>
          <w:p>
            <w:pPr>
              <w:pStyle w:val="Lentelsturinys"/>
              <w:spacing w:before="0" w:after="200"/>
              <w:rPr>
                <w:color w:val="auto"/>
              </w:rPr>
            </w:pPr>
            <w:r>
              <w:rPr>
                <w:rFonts w:ascii="Arial" w:hAnsi="Arial"/>
                <w:b/>
                <w:bCs/>
                <w:color w:val="auto"/>
                <w:sz w:val="16"/>
                <w:szCs w:val="16"/>
              </w:rPr>
              <w:t>15</w:t>
            </w:r>
            <w:r>
              <w:rPr>
                <w:rFonts w:ascii="Arial" w:hAnsi="Arial"/>
                <w:b/>
                <w:bCs/>
                <w:color w:val="auto"/>
                <w:sz w:val="16"/>
                <w:szCs w:val="16"/>
                <w:vertAlign w:val="superscript"/>
              </w:rPr>
              <w:t>O</w:t>
            </w:r>
            <w:r>
              <w:rPr>
                <w:rFonts w:ascii="Arial" w:hAnsi="Arial"/>
                <w:b/>
                <w:bCs/>
                <w:color w:val="auto"/>
                <w:sz w:val="16"/>
                <w:szCs w:val="16"/>
              </w:rPr>
              <w:t xml:space="preserve"> C</w:t>
            </w:r>
          </w:p>
        </w:tc>
      </w:tr>
      <w:tr>
        <w:trPr/>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0% Katalizatorius</w:t>
            </w:r>
          </w:p>
        </w:tc>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10 valandų</w:t>
            </w:r>
          </w:p>
        </w:tc>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8 valandos</w:t>
            </w:r>
          </w:p>
        </w:tc>
        <w:tc>
          <w:tcPr>
            <w:tcW w:w="2552" w:type="dxa"/>
            <w:tcBorders>
              <w:left w:val="single" w:sz="4" w:space="0" w:color="000000"/>
              <w:bottom w:val="single" w:sz="4" w:space="0" w:color="000000"/>
              <w:right w:val="single" w:sz="4" w:space="0" w:color="000000"/>
            </w:tcBorders>
          </w:tcPr>
          <w:p>
            <w:pPr>
              <w:pStyle w:val="Lentelsturinys"/>
              <w:spacing w:before="0" w:after="200"/>
              <w:rPr>
                <w:color w:val="auto"/>
              </w:rPr>
            </w:pPr>
            <w:r>
              <w:rPr>
                <w:rFonts w:ascii="Arial" w:hAnsi="Arial"/>
                <w:color w:val="auto"/>
                <w:sz w:val="16"/>
                <w:szCs w:val="16"/>
              </w:rPr>
              <w:t>6,5 valandos</w:t>
            </w:r>
          </w:p>
        </w:tc>
      </w:tr>
      <w:tr>
        <w:trPr/>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0.01% (1ml/9kg)</w:t>
            </w:r>
          </w:p>
        </w:tc>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6valandos</w:t>
            </w:r>
          </w:p>
        </w:tc>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5 valandos</w:t>
            </w:r>
          </w:p>
        </w:tc>
        <w:tc>
          <w:tcPr>
            <w:tcW w:w="2552" w:type="dxa"/>
            <w:tcBorders>
              <w:left w:val="single" w:sz="4" w:space="0" w:color="000000"/>
              <w:bottom w:val="single" w:sz="4" w:space="0" w:color="000000"/>
              <w:right w:val="single" w:sz="4" w:space="0" w:color="000000"/>
            </w:tcBorders>
          </w:tcPr>
          <w:p>
            <w:pPr>
              <w:pStyle w:val="Lentelsturinys"/>
              <w:spacing w:before="0" w:after="200"/>
              <w:rPr>
                <w:color w:val="auto"/>
              </w:rPr>
            </w:pPr>
            <w:r>
              <w:rPr>
                <w:rFonts w:ascii="Arial" w:hAnsi="Arial"/>
                <w:color w:val="auto"/>
                <w:sz w:val="16"/>
                <w:szCs w:val="16"/>
              </w:rPr>
              <w:t>4,5 valandos</w:t>
            </w:r>
          </w:p>
        </w:tc>
      </w:tr>
      <w:tr>
        <w:trPr/>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0.02% (2ml/9kg)</w:t>
            </w:r>
          </w:p>
        </w:tc>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4 valandos</w:t>
            </w:r>
          </w:p>
        </w:tc>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3 valandos</w:t>
            </w:r>
          </w:p>
        </w:tc>
        <w:tc>
          <w:tcPr>
            <w:tcW w:w="2552" w:type="dxa"/>
            <w:tcBorders>
              <w:left w:val="single" w:sz="4" w:space="0" w:color="000000"/>
              <w:bottom w:val="single" w:sz="4" w:space="0" w:color="000000"/>
              <w:right w:val="single" w:sz="4" w:space="0" w:color="000000"/>
            </w:tcBorders>
          </w:tcPr>
          <w:p>
            <w:pPr>
              <w:pStyle w:val="Lentelsturinys"/>
              <w:spacing w:before="0" w:after="200"/>
              <w:rPr>
                <w:color w:val="auto"/>
              </w:rPr>
            </w:pPr>
            <w:r>
              <w:rPr>
                <w:rFonts w:ascii="Arial" w:hAnsi="Arial"/>
                <w:color w:val="auto"/>
                <w:sz w:val="16"/>
                <w:szCs w:val="16"/>
              </w:rPr>
              <w:t>2,5 valandos</w:t>
            </w:r>
          </w:p>
        </w:tc>
      </w:tr>
      <w:tr>
        <w:trPr/>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0.03% (3ml/9kg)</w:t>
            </w:r>
          </w:p>
        </w:tc>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3 valandos</w:t>
            </w:r>
          </w:p>
        </w:tc>
        <w:tc>
          <w:tcPr>
            <w:tcW w:w="255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2 valandos</w:t>
            </w:r>
          </w:p>
        </w:tc>
        <w:tc>
          <w:tcPr>
            <w:tcW w:w="2552" w:type="dxa"/>
            <w:tcBorders>
              <w:left w:val="single" w:sz="4" w:space="0" w:color="000000"/>
              <w:bottom w:val="single" w:sz="4" w:space="0" w:color="000000"/>
              <w:right w:val="single" w:sz="4" w:space="0" w:color="000000"/>
            </w:tcBorders>
          </w:tcPr>
          <w:p>
            <w:pPr>
              <w:pStyle w:val="Lentelsturinys"/>
              <w:spacing w:before="0" w:after="200"/>
              <w:rPr>
                <w:color w:val="auto"/>
              </w:rPr>
            </w:pPr>
            <w:r>
              <w:rPr>
                <w:rFonts w:ascii="Arial" w:hAnsi="Arial"/>
                <w:color w:val="auto"/>
                <w:sz w:val="16"/>
                <w:szCs w:val="16"/>
              </w:rPr>
              <w:t>1,5 valandos</w:t>
            </w:r>
          </w:p>
        </w:tc>
      </w:tr>
    </w:tbl>
    <w:p>
      <w:pPr>
        <w:pStyle w:val="Paprtekstas"/>
        <w:rPr>
          <w:color w:val="auto"/>
        </w:rPr>
      </w:pPr>
      <w:r>
        <w:rPr>
          <w:color w:val="auto"/>
        </w:rPr>
      </w:r>
    </w:p>
    <w:p>
      <w:pPr>
        <w:pStyle w:val="Paprtekstas"/>
        <w:rPr>
          <w:color w:val="auto"/>
        </w:rPr>
      </w:pPr>
      <w:r>
        <w:rPr>
          <w:color w:val="auto"/>
        </w:rPr>
        <w:t>1. EPDM granulės 10 mm</w:t>
      </w:r>
    </w:p>
    <w:p>
      <w:pPr>
        <w:pStyle w:val="Paprtekstas"/>
        <w:rPr>
          <w:color w:val="auto"/>
        </w:rPr>
      </w:pPr>
      <w:r>
        <w:drawing>
          <wp:anchor behindDoc="0" distT="0" distB="0" distL="0" distR="0" simplePos="0" locked="0" layoutInCell="0" allowOverlap="1" relativeHeight="180">
            <wp:simplePos x="0" y="0"/>
            <wp:positionH relativeFrom="column">
              <wp:posOffset>3823970</wp:posOffset>
            </wp:positionH>
            <wp:positionV relativeFrom="paragraph">
              <wp:posOffset>19050</wp:posOffset>
            </wp:positionV>
            <wp:extent cx="1589405" cy="1389380"/>
            <wp:effectExtent l="0" t="0" r="0" b="0"/>
            <wp:wrapSquare wrapText="largest"/>
            <wp:docPr id="7" name="Image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22"/>
                    <pic:cNvPicPr>
                      <a:picLocks noChangeAspect="1" noChangeArrowheads="1"/>
                    </pic:cNvPicPr>
                  </pic:nvPicPr>
                  <pic:blipFill>
                    <a:blip r:embed="rId8"/>
                    <a:stretch>
                      <a:fillRect/>
                    </a:stretch>
                  </pic:blipFill>
                  <pic:spPr bwMode="auto">
                    <a:xfrm>
                      <a:off x="0" y="0"/>
                      <a:ext cx="1589405" cy="1389380"/>
                    </a:xfrm>
                    <a:prstGeom prst="rect">
                      <a:avLst/>
                    </a:prstGeom>
                    <a:noFill/>
                  </pic:spPr>
                </pic:pic>
              </a:graphicData>
            </a:graphic>
          </wp:anchor>
        </w:drawing>
      </w:r>
      <w:r>
        <w:rPr>
          <w:color w:val="auto"/>
        </w:rPr>
        <w:t>2. SBR granulės – 30-110 mm</w:t>
      </w:r>
    </w:p>
    <w:p>
      <w:pPr>
        <w:pStyle w:val="Paprtekstas"/>
        <w:rPr>
          <w:color w:val="auto"/>
        </w:rPr>
      </w:pPr>
      <w:r>
        <w:rPr>
          <w:color w:val="auto"/>
        </w:rPr>
        <w:t>3. Atsijos (2-3 mm) – iki 20 mm</w:t>
      </w:r>
    </w:p>
    <w:p>
      <w:pPr>
        <w:pStyle w:val="Paprtekstas"/>
        <w:rPr>
          <w:color w:val="auto"/>
        </w:rPr>
      </w:pPr>
      <w:r>
        <w:rPr>
          <w:color w:val="auto"/>
        </w:rPr>
        <w:t>4. Tankinama skalda (4-31,5 mm) – 150-200 mm</w:t>
      </w:r>
    </w:p>
    <w:p>
      <w:pPr>
        <w:pStyle w:val="Paprtekstas"/>
        <w:rPr>
          <w:color w:val="auto"/>
        </w:rPr>
      </w:pPr>
      <w:r>
        <w:rPr>
          <w:color w:val="auto"/>
        </w:rPr>
        <w:t>5. Filtruojantis sluoksnis – 100-150 mm (jei būtina)</w:t>
      </w:r>
    </w:p>
    <w:p>
      <w:pPr>
        <w:pStyle w:val="Paprtekstas"/>
        <w:rPr>
          <w:color w:val="auto"/>
        </w:rPr>
      </w:pPr>
      <w:r>
        <w:rPr>
          <w:color w:val="auto"/>
        </w:rPr>
        <w:t>6. Dirba</w:t>
      </w:r>
    </w:p>
    <w:p>
      <w:pPr>
        <w:pStyle w:val="Paprtekstas"/>
        <w:rPr>
          <w:color w:val="auto"/>
        </w:rPr>
      </w:pPr>
      <w:r>
        <mc:AlternateContent>
          <mc:Choice Requires="wps">
            <w:drawing>
              <wp:anchor behindDoc="0" distT="0" distB="0" distL="0" distR="0" simplePos="0" locked="0" layoutInCell="0" allowOverlap="1" relativeHeight="183">
                <wp:simplePos x="0" y="0"/>
                <wp:positionH relativeFrom="column">
                  <wp:posOffset>67310</wp:posOffset>
                </wp:positionH>
                <wp:positionV relativeFrom="paragraph">
                  <wp:posOffset>19685</wp:posOffset>
                </wp:positionV>
                <wp:extent cx="3683000" cy="2952115"/>
                <wp:effectExtent l="0" t="0" r="0" b="0"/>
                <wp:wrapSquare wrapText="largest"/>
                <wp:docPr id="8" name="Frame4"/>
                <a:graphic xmlns:a="http://schemas.openxmlformats.org/drawingml/2006/main">
                  <a:graphicData uri="http://schemas.microsoft.com/office/word/2010/wordprocessingShape">
                    <wps:wsp>
                      <wps:cNvSpPr/>
                      <wps:spPr>
                        <a:xfrm>
                          <a:off x="0" y="0"/>
                          <a:ext cx="3683160" cy="2952000"/>
                        </a:xfrm>
                        <a:prstGeom prst="rect">
                          <a:avLst/>
                        </a:prstGeom>
                        <a:solidFill>
                          <a:srgbClr val="ffffff"/>
                        </a:solidFill>
                        <a:ln w="0">
                          <a:noFill/>
                        </a:ln>
                      </wps:spPr>
                      <wps:style>
                        <a:lnRef idx="0"/>
                        <a:fillRef idx="0"/>
                        <a:effectRef idx="0"/>
                        <a:fontRef idx="minor"/>
                      </wps:style>
                      <wps:txbx>
                        <w:txbxContent>
                          <w:p>
                            <w:pPr>
                              <w:pStyle w:val="Caption"/>
                              <w:spacing w:lineRule="auto" w:line="240" w:before="0" w:after="120"/>
                              <w:ind w:hanging="0"/>
                              <w:rPr/>
                            </w:pPr>
                            <w:r>
                              <w:rPr>
                                <w:color w:val="000000"/>
                              </w:rPr>
                              <w:drawing>
                                <wp:inline distT="0" distB="0" distL="0" distR="0">
                                  <wp:extent cx="3683000" cy="2806065"/>
                                  <wp:effectExtent l="0" t="0" r="0" b="0"/>
                                  <wp:docPr id="9" name="Image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40"/>
                                          <pic:cNvPicPr>
                                            <a:picLocks noChangeAspect="1" noChangeArrowheads="1"/>
                                          </pic:cNvPicPr>
                                        </pic:nvPicPr>
                                        <pic:blipFill>
                                          <a:blip r:embed="rId9"/>
                                          <a:stretch>
                                            <a:fillRect/>
                                          </a:stretch>
                                        </pic:blipFill>
                                        <pic:spPr bwMode="auto">
                                          <a:xfrm>
                                            <a:off x="0" y="0"/>
                                            <a:ext cx="3683000" cy="2806065"/>
                                          </a:xfrm>
                                          <a:prstGeom prst="rect">
                                            <a:avLst/>
                                          </a:prstGeom>
                                          <a:noFill/>
                                        </pic:spPr>
                                      </pic:pic>
                                    </a:graphicData>
                                  </a:graphic>
                                </wp:inline>
                              </w:drawing>
                            </w:r>
                            <w:r>
                              <w:rPr>
                                <w:color w:val="000000"/>
                              </w:rPr>
                              <w:t>Dangos storio nustatymo schema</w:t>
                            </w:r>
                          </w:p>
                        </w:txbxContent>
                      </wps:txbx>
                      <wps:bodyPr lIns="0" rIns="0" tIns="0" bIns="0" anchor="t">
                        <a:noAutofit/>
                      </wps:bodyPr>
                    </wps:wsp>
                  </a:graphicData>
                </a:graphic>
              </wp:anchor>
            </w:drawing>
          </mc:Choice>
          <mc:Fallback>
            <w:pict>
              <v:rect id="shape_0" ID="Frame4" path="m0,0l-2147483645,0l-2147483645,-2147483646l0,-2147483646xe" fillcolor="white" stroked="f" o:allowincell="f" style="position:absolute;margin-left:5.3pt;margin-top:1.55pt;width:289.95pt;height:232.4pt;mso-wrap-style:square;v-text-anchor:top">
                <v:fill o:detectmouseclick="t" type="solid" color2="black"/>
                <v:stroke color="#3465a4" joinstyle="round" endcap="flat"/>
                <v:textbox>
                  <w:txbxContent>
                    <w:p>
                      <w:pPr>
                        <w:pStyle w:val="Caption"/>
                        <w:spacing w:lineRule="auto" w:line="240" w:before="0" w:after="120"/>
                        <w:ind w:hanging="0"/>
                        <w:rPr/>
                      </w:pPr>
                      <w:r>
                        <w:rPr>
                          <w:color w:val="000000"/>
                        </w:rPr>
                        <w:drawing>
                          <wp:inline distT="0" distB="0" distL="0" distR="0">
                            <wp:extent cx="3683000" cy="2806065"/>
                            <wp:effectExtent l="0" t="0" r="0" b="0"/>
                            <wp:docPr id="10" name="Image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40"/>
                                    <pic:cNvPicPr>
                                      <a:picLocks noChangeAspect="1" noChangeArrowheads="1"/>
                                    </pic:cNvPicPr>
                                  </pic:nvPicPr>
                                  <pic:blipFill>
                                    <a:blip r:embed="rId10"/>
                                    <a:stretch>
                                      <a:fillRect/>
                                    </a:stretch>
                                  </pic:blipFill>
                                  <pic:spPr bwMode="auto">
                                    <a:xfrm>
                                      <a:off x="0" y="0"/>
                                      <a:ext cx="3683000" cy="2806065"/>
                                    </a:xfrm>
                                    <a:prstGeom prst="rect">
                                      <a:avLst/>
                                    </a:prstGeom>
                                    <a:noFill/>
                                  </pic:spPr>
                                </pic:pic>
                              </a:graphicData>
                            </a:graphic>
                          </wp:inline>
                        </w:drawing>
                      </w:r>
                      <w:r>
                        <w:rPr>
                          <w:color w:val="000000"/>
                        </w:rPr>
                        <w:t>Dangos storio nustatymo schema</w:t>
                      </w:r>
                    </w:p>
                  </w:txbxContent>
                </v:textbox>
                <w10:wrap type="square" side="largest"/>
              </v:rect>
            </w:pict>
          </mc:Fallback>
        </mc:AlternateContent>
      </w:r>
      <w:r>
        <w:rPr>
          <w:i/>
          <w:iCs/>
          <w:color w:val="auto"/>
          <w:u w:val="single"/>
        </w:rPr>
        <w:t>EPDM liejamos dangos pagrindo paruošimas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Prieš liejant dangą, svarbu užtikrinti, kad paviršius, kuris bus padengtas, būtų gerai paruoštas ir sausas. Būtina pašalinti visus teršalus ir įsitikinti, kad paviršius nėra užterštas dulkėmis, purvu, smėliu, aliejumi ar riebalais.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 xml:space="preserve"> </w:t>
      </w:r>
      <w:r>
        <w:rPr>
          <w:rFonts w:eastAsia="Times New Roman" w:cs="Times New Roman"/>
          <w:color w:val="auto"/>
          <w:kern w:val="0"/>
          <w:sz w:val="20"/>
          <w:szCs w:val="24"/>
          <w:lang w:val="lt-LT" w:eastAsia="en-US" w:bidi="ar-SA"/>
        </w:rPr>
        <w:t>Tinkamiausias pagrindas dangai įrengti yra betonas, asfaltas arba tankinama skalda.Tam tikrais atvejais, prieš liejant dangą, gali reikėti gruntuoti paviršių, pavyzdžiui, aplink betoninius bortelius, esant betoninei arba asfalto dangai. Išliejus naują asfaltą turi praeiti bent trys savaitės, kad pasišalintų bitumas ir būtų galima gruntuoti. Tokiu atveju naudojamas specialus gruntas. Ant išdžiūvusio grunto liejama granulių danga.</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Prieš liejant dangą rekomenduojama įrengti bortelį su gruntuota šonine dalimi, prie kurios klijuojama liejama danga. Geriausiai tinka betoninis bortelis, tačiau galimas ir ekonominisvariantas – medžio lenta, plastikinis ar metalinis vejos bortelis. Liejant dangą ant mineralinių paviršių neįrengus bortelių, dangos kraštas gali riestis, danga gali būti pakelta ar kitaip mechaniškai pažeidžiama. Jeigu liejamas dangos plotas yra didelis ir jos neįmanoma išlieti per vieną dieną, daromas dangos sujungimas: dangai sustingus nupjaunamas dangos kraštas, taip kad būtų sukurtas status kampas, tada dangos kraštas gruntuojamas ir liejama nauja danga, sulyginant jos aukštį su ankščiau išlieta dalimi.</w:t>
      </w:r>
    </w:p>
    <w:p>
      <w:pPr>
        <w:pStyle w:val="Paprtekstas"/>
        <w:widowControl/>
        <w:suppressAutoHyphens w:val="true"/>
        <w:bidi w:val="0"/>
        <w:spacing w:lineRule="auto" w:line="276"/>
        <w:rPr>
          <w:color w:val="auto"/>
        </w:rPr>
      </w:pPr>
      <w:r>
        <w:rPr>
          <w:rFonts w:eastAsia="Times New Roman" w:cs="Times New Roman"/>
          <w:i/>
          <w:iCs/>
          <w:color w:val="auto"/>
          <w:kern w:val="0"/>
          <w:szCs w:val="24"/>
          <w:u w:val="single"/>
          <w:lang w:val="lt-LT" w:eastAsia="en-US" w:bidi="ar-SA"/>
        </w:rPr>
        <w:t>Smūgį sugeriančio pado (apatinio sluoksnio) įrengimas</w:t>
      </w:r>
    </w:p>
    <w:p>
      <w:pPr>
        <w:pStyle w:val="Paprtekstas"/>
        <w:widowControl/>
        <w:suppressAutoHyphens w:val="true"/>
        <w:bidi w:val="0"/>
        <w:spacing w:lineRule="auto" w:line="276"/>
        <w:rPr>
          <w:color w:val="auto"/>
        </w:rPr>
      </w:pPr>
      <w:r>
        <w:rPr>
          <w:rFonts w:eastAsia="Times New Roman" w:cs="Times New Roman"/>
          <w:i/>
          <w:iCs/>
          <w:color w:val="auto"/>
          <w:kern w:val="0"/>
          <w:szCs w:val="24"/>
          <w:u w:val="single"/>
          <w:lang w:val="lt-LT" w:eastAsia="en-US" w:bidi="ar-SA"/>
        </w:rPr>
        <w:t>P</w:t>
      </w:r>
      <w:r>
        <w:rPr>
          <w:rFonts w:eastAsia="Times New Roman" w:cs="Times New Roman"/>
          <w:color w:val="auto"/>
          <w:kern w:val="0"/>
          <w:sz w:val="20"/>
          <w:szCs w:val="24"/>
          <w:lang w:val="lt-LT" w:eastAsia="en-US" w:bidi="ar-SA"/>
        </w:rPr>
        <w:t>rocesas vykdomas rankiniu būdu sumaišius gumos granules SBR ir specialų rišiklį reikiamu santykiu specialioje taroje. Gumos granulės turi būti sumaišytos su poliuretano rišikliu (PU) naudojant specialų priverstinio maišymo maišytuvą. Maišoma, kol granulės pasidengs rišikliu. Naudojant rišiklį reikia atsižvelgti į gumos rūšį, pavyzdžiui EPDM arba SBR, nes gumos tankis yra skirtingas. Gumos granulės turi būti sausos, kad sulėtintų gumos stingimą ir rišiklio putojimą.</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SBR gumos granulės ir rišamoji medžiaga turi būti maišoma 2–3 minutes, kol visos granulės pasidengs rišikliu. Mišinys liejamas ant paruošto paviršiaus, nesuspaudžiant, kad liktų poros greitam vandens nutekėjimui.</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Kintamas sluoksnio storis gali būti nuo 30 mm iki 110 mm priklausomai nuo užsakovo poreikių. Sluoksnio džiuvimo procesas priklauso nuo drėgmės ir oro temperatūros.</w:t>
      </w:r>
    </w:p>
    <w:p>
      <w:pPr>
        <w:pStyle w:val="Paprtekstas"/>
        <w:widowControl/>
        <w:suppressAutoHyphens w:val="true"/>
        <w:bidi w:val="0"/>
        <w:spacing w:lineRule="auto" w:line="276"/>
        <w:rPr>
          <w:color w:val="auto"/>
        </w:rPr>
      </w:pPr>
      <w:r>
        <w:rPr>
          <w:rFonts w:eastAsia="Times New Roman" w:cs="Times New Roman"/>
          <w:i/>
          <w:iCs/>
          <w:color w:val="auto"/>
          <w:kern w:val="0"/>
          <w:szCs w:val="24"/>
          <w:u w:val="single"/>
          <w:lang w:val="lt-LT" w:eastAsia="en-US" w:bidi="ar-SA"/>
        </w:rPr>
        <w:t>Viršutinio sluoksnio įrengimas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Viršutinio sluoksnio įrengimas atliekamas rankiniu būdu, naudojant EPDM spalvotų granulių mišinį ir poliuretano rišiklį (PU). EPDM gumos granulės ir rišamoji medžiaga maišoma šalto būgno maišytuvuose 3-4 minutes, kol granulės pasidengia rišikliu. Paruoštas mišinys liejamas ant jau išlietų SBR granulių. Išlygintas mišinys suvoluojamas specialiu volu, kraštai sulyginami viename lygyje su borteliais.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Viršutinis sluoksnis turi labai geras mechanines savybes: jis yra kietas, neslidus, amortizuojantis, akytas, pralaidus orui ir vandeniui, atsparus išoriniams veiksniams (temperatūrai, lietui, sniegui) ir turi didesnį atsparumą trinčiai. Šiame sluoksnyje gali būti nežymios volavimo, lygynimo rievės, dėl lyginimo technologijos, gali matytis technologinės siūlės, bet danga turi būti pakankamai sutankinta, nesimatyti didelio porėtumo nes tai silpnina dangos sukibimą bei tvirtumą. Lygiai išliejus dangą, ji bus ilgaamžė ir sumažins sužeidimų riziką, kylančią dėl bet kokio sąlyčio su pagrindu. Viršutinio dangos sluoksnio storis turi būti ne mažesnis kaip 10 mm.</w:t>
      </w:r>
    </w:p>
    <w:p>
      <w:pPr>
        <w:pStyle w:val="Paprtekstas"/>
        <w:widowControl/>
        <w:suppressAutoHyphens w:val="true"/>
        <w:bidi w:val="0"/>
        <w:spacing w:lineRule="auto" w:line="276"/>
        <w:rPr>
          <w:color w:val="auto"/>
        </w:rPr>
      </w:pPr>
      <w:r>
        <w:rPr>
          <w:rFonts w:eastAsia="Times New Roman" w:cs="Times New Roman"/>
          <w:b/>
          <w:bCs/>
          <w:color w:val="auto"/>
          <w:kern w:val="0"/>
          <w:szCs w:val="24"/>
          <w:lang w:val="lt-LT" w:eastAsia="en-US" w:bidi="ar-SA"/>
        </w:rPr>
        <w:t>Ploniausias bendras EPDM liejamos dangos storis negali būti mažiau nei40mm</w:t>
      </w:r>
      <w:r>
        <w:rPr>
          <w:rFonts w:eastAsia="Times New Roman" w:cs="Times New Roman"/>
          <w:color w:val="auto"/>
          <w:kern w:val="0"/>
          <w:szCs w:val="24"/>
          <w:lang w:val="lt-LT" w:eastAsia="en-US" w:bidi="ar-SA"/>
        </w:rPr>
        <w:t xml:space="preserve"> (apatinis sluoksnis (SBR 30mm) + viršutinis sluoksnis (EPDM 10 mm). Jeiguužsakovas reikalauja mažesnio dangos storio nei 40 mm, danga turi būti liejama ant asfaltoarba betono, kitu atveju užsakovas prisiima visą atsakomybę ir garantija dangai nesuteikiama.</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Kiekvieno sluoksnio mišinys pilamas ant anksčiau paruošto pagrindo reikiama tvarka ir laiko intervalais. Atsižvelgiant į vartotojo poreikius, dangos įrengimo proceso metu kiekvienam paviršiaus sluoksniui gali būti suteiktas bet kokio tinkamo dydžio, formos ir spalvos grafinis piešinys iš EPDM granulių arba dažytas specialiais poliuretano dažais.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Įrankių, naudotų liejamos dangos įrengimui, valymui naudojamas vanduo ir indų ploviklis. Užtikrinama, kad visa įranga po naudojimo būtų gerai išvalyta.</w:t>
      </w:r>
    </w:p>
    <w:p>
      <w:pPr>
        <w:pStyle w:val="Paprtekstas"/>
        <w:widowControl/>
        <w:suppressAutoHyphens w:val="true"/>
        <w:bidi w:val="0"/>
        <w:spacing w:lineRule="auto" w:line="276"/>
        <w:rPr>
          <w:color w:val="auto"/>
        </w:rPr>
      </w:pPr>
      <w:r>
        <w:rPr>
          <w:rFonts w:eastAsia="Times New Roman" w:cs="Times New Roman"/>
          <w:i/>
          <w:iCs/>
          <w:color w:val="auto"/>
          <w:kern w:val="0"/>
          <w:szCs w:val="24"/>
          <w:u w:val="single"/>
          <w:lang w:val="lt-LT" w:eastAsia="en-US" w:bidi="ar-SA"/>
        </w:rPr>
        <w:t>EPDM dangos naudojimas ir priežiūra</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Dangos priežiūra reikalinga optimaliems dangos amortizacijos ir neslidumo parametrams palaikyti. Reguliarūs patikrinimai ir pastoviai palaikomas švarus dangos paviršius pratęsia jos tarnavimo laiką, leidžia išlaikyti nepakitusias technines savybes, užtikrinti lietaus vandens natūralų drenažą ir išlaikyti gerą išvaizdą bei neslydimo savybes. Pastovus dangos tikrinimas leidžia anksti nustatyti pažeidimus, atsiradusius dėl netinkamo naudojimo ar vandalizmo. Tai apsaugo nuo dangos sugadinimo ir gerokai sumažina remonto išlaidas. EPDM paviršius yra lengvai prižiūrimas, bet reikia tai atlikti tinkamai. Todėl yra pateikiamos tokios rekomendacijos.</w:t>
      </w:r>
    </w:p>
    <w:p>
      <w:pPr>
        <w:pStyle w:val="Paprtekstas"/>
        <w:widowControl/>
        <w:numPr>
          <w:ilvl w:val="0"/>
          <w:numId w:val="7"/>
        </w:numPr>
        <w:suppressAutoHyphens w:val="true"/>
        <w:bidi w:val="0"/>
        <w:spacing w:lineRule="auto" w:line="276"/>
        <w:rPr>
          <w:color w:val="auto"/>
        </w:rPr>
      </w:pPr>
      <w:r>
        <w:rPr>
          <w:rFonts w:eastAsia="Times New Roman" w:cs="Times New Roman"/>
          <w:color w:val="auto"/>
          <w:kern w:val="0"/>
          <w:szCs w:val="24"/>
          <w:lang w:val="lt-LT" w:eastAsia="en-US" w:bidi="ar-SA"/>
        </w:rPr>
        <w:t>Naudokite paviršių pagal paskirtį. Atitinkama informacija, nuorodos ir draudimai turėtų būti įtraukti į žaidimų aikštelės naudojimo taisykles, kurios turėtų būti gerai matomoje vietoje prie įėjimo. Atkreipkite dėmesį, jei žaidimo aikštelė naudojama, kai paviršius yra užšalęs, dangos atsitrenkimo sušvelninimo savybės gali sumažėti.</w:t>
      </w:r>
    </w:p>
    <w:p>
      <w:pPr>
        <w:pStyle w:val="Paprtekstas"/>
        <w:widowControl/>
        <w:numPr>
          <w:ilvl w:val="0"/>
          <w:numId w:val="7"/>
        </w:numPr>
        <w:suppressAutoHyphens w:val="true"/>
        <w:bidi w:val="0"/>
        <w:spacing w:lineRule="auto" w:line="276"/>
        <w:rPr>
          <w:color w:val="auto"/>
        </w:rPr>
      </w:pPr>
      <w:r>
        <w:rPr>
          <w:rFonts w:eastAsia="Times New Roman" w:cs="Times New Roman"/>
          <w:color w:val="auto"/>
          <w:kern w:val="0"/>
          <w:szCs w:val="24"/>
          <w:lang w:val="lt-LT" w:eastAsia="en-US" w:bidi="ar-SA"/>
        </w:rPr>
        <w:t>Saugokite, kad ant dangos nepatektų kietų objektų: akmenų, žvyro, sudaužytų stiklų, kurie gali visam laikui sugadinti dangą ir būti potencialių nelaimingų atsitikimų priežastis žaidimų aikštelėje.</w:t>
      </w:r>
    </w:p>
    <w:p>
      <w:pPr>
        <w:pStyle w:val="Paprtekstas"/>
        <w:widowControl/>
        <w:numPr>
          <w:ilvl w:val="0"/>
          <w:numId w:val="7"/>
        </w:numPr>
        <w:suppressAutoHyphens w:val="true"/>
        <w:bidi w:val="0"/>
        <w:spacing w:lineRule="auto" w:line="276"/>
        <w:rPr>
          <w:color w:val="auto"/>
        </w:rPr>
      </w:pPr>
      <w:r>
        <w:rPr>
          <w:rFonts w:eastAsia="Times New Roman" w:cs="Times New Roman"/>
          <w:color w:val="auto"/>
          <w:kern w:val="0"/>
          <w:szCs w:val="24"/>
          <w:lang w:val="lt-LT" w:eastAsia="en-US" w:bidi="ar-SA"/>
        </w:rPr>
        <w:t>Reguliariai valykite dangą, nušluokite šiukšles, lapus, smėlį ar purvą, pušų ir eglių spyglius, nukritusias augalų dalis ir kitas atliekas, nes šių organinių medžiagų skilimo metu susidarę produktai skatina samanų ir piktžolių augimą, kurios užteršia paviršiaus poras. Užsikimšusios poros blokuoja vandens pralaidumą, dėl ko galimi spalvos pasikeitimai.</w:t>
      </w:r>
    </w:p>
    <w:p>
      <w:pPr>
        <w:pStyle w:val="Paprtekstas"/>
        <w:widowControl/>
        <w:numPr>
          <w:ilvl w:val="0"/>
          <w:numId w:val="7"/>
        </w:numPr>
        <w:suppressAutoHyphens w:val="true"/>
        <w:bidi w:val="0"/>
        <w:spacing w:lineRule="auto" w:line="276"/>
        <w:rPr>
          <w:color w:val="auto"/>
        </w:rPr>
      </w:pPr>
      <w:r>
        <w:rPr>
          <w:rFonts w:eastAsia="Times New Roman" w:cs="Times New Roman"/>
          <w:color w:val="auto"/>
          <w:kern w:val="0"/>
          <w:szCs w:val="24"/>
          <w:lang w:val="lt-LT" w:eastAsia="en-US" w:bidi="ar-SA"/>
        </w:rPr>
        <w:t>Kartais dėl vėjo ant paviršiaus gali atsirasti piktžolių. Mažą piktžolių kiekį galite pašalinti rankiniu būdu, nepažeidžiant paviršiaus. Jei piktžolės raunamos, svarbu užtikrinti, kad išraunant piktžolių šaknis, danga nebūtų sugadinta. Jei piktžolės yra giliai įsišaknijusios, patartina jas naikinti tinkamomis priemonėmis, kurios nėra pavojingos vaikams.</w:t>
      </w:r>
    </w:p>
    <w:p>
      <w:pPr>
        <w:pStyle w:val="Paprtekstas"/>
        <w:widowControl/>
        <w:numPr>
          <w:ilvl w:val="0"/>
          <w:numId w:val="7"/>
        </w:numPr>
        <w:suppressAutoHyphens w:val="true"/>
        <w:bidi w:val="0"/>
        <w:spacing w:lineRule="auto" w:line="276"/>
        <w:rPr>
          <w:color w:val="auto"/>
        </w:rPr>
      </w:pPr>
      <w:r>
        <w:rPr>
          <w:rFonts w:eastAsia="Times New Roman" w:cs="Times New Roman"/>
          <w:color w:val="auto"/>
          <w:kern w:val="0"/>
          <w:szCs w:val="24"/>
          <w:lang w:val="lt-LT" w:eastAsia="en-US" w:bidi="ar-SA"/>
        </w:rPr>
        <w:t>Norėdami išlaikyti higienišką išvaizdą ne dažniau kaip kartą per metus galite naudoti biocidinius produktus piktžolėms ir samanoms.</w:t>
      </w:r>
    </w:p>
    <w:p>
      <w:pPr>
        <w:pStyle w:val="Paprtekstas"/>
        <w:widowControl/>
        <w:numPr>
          <w:ilvl w:val="0"/>
          <w:numId w:val="7"/>
        </w:numPr>
        <w:suppressAutoHyphens w:val="true"/>
        <w:bidi w:val="0"/>
        <w:spacing w:lineRule="auto" w:line="276"/>
        <w:rPr>
          <w:color w:val="auto"/>
        </w:rPr>
      </w:pPr>
      <w:r>
        <w:rPr>
          <w:rFonts w:eastAsia="Times New Roman" w:cs="Times New Roman"/>
          <w:color w:val="auto"/>
          <w:kern w:val="0"/>
          <w:szCs w:val="24"/>
          <w:lang w:val="lt-LT" w:eastAsia="en-US" w:bidi="ar-SA"/>
        </w:rPr>
        <w:t>Venkite užteršimo alyva, dažais, tepalais, tirpikliais ir kitomis cheminėmis medžiagomis.</w:t>
      </w:r>
    </w:p>
    <w:p>
      <w:pPr>
        <w:pStyle w:val="Paprtekstas"/>
        <w:widowControl/>
        <w:numPr>
          <w:ilvl w:val="0"/>
          <w:numId w:val="7"/>
        </w:numPr>
        <w:suppressAutoHyphens w:val="true"/>
        <w:bidi w:val="0"/>
        <w:spacing w:lineRule="auto" w:line="276"/>
        <w:rPr>
          <w:color w:val="auto"/>
        </w:rPr>
      </w:pPr>
      <w:r>
        <w:rPr>
          <w:rFonts w:eastAsia="Times New Roman" w:cs="Times New Roman"/>
          <w:color w:val="auto"/>
          <w:kern w:val="0"/>
          <w:szCs w:val="24"/>
          <w:lang w:val="lt-LT" w:eastAsia="en-US" w:bidi="ar-SA"/>
        </w:rPr>
        <w:t>Nedėkite ant paviršiaus jokių daiktų su aštriomis briaunomis.</w:t>
      </w:r>
    </w:p>
    <w:p>
      <w:pPr>
        <w:pStyle w:val="Paprtekstas"/>
        <w:widowControl/>
        <w:numPr>
          <w:ilvl w:val="0"/>
          <w:numId w:val="7"/>
        </w:numPr>
        <w:suppressAutoHyphens w:val="true"/>
        <w:bidi w:val="0"/>
        <w:spacing w:lineRule="auto" w:line="276"/>
        <w:rPr>
          <w:color w:val="auto"/>
        </w:rPr>
      </w:pPr>
      <w:r>
        <w:rPr>
          <w:rFonts w:eastAsia="Times New Roman" w:cs="Times New Roman"/>
          <w:color w:val="auto"/>
          <w:kern w:val="0"/>
          <w:szCs w:val="24"/>
          <w:lang w:val="lt-LT" w:eastAsia="en-US" w:bidi="ar-SA"/>
        </w:rPr>
        <w:t>Aikštyne žaisti ir sportuoti galima tik apsiavus tam skirtą sportinę avalynę.</w:t>
      </w:r>
    </w:p>
    <w:p>
      <w:pPr>
        <w:pStyle w:val="Paprtekstas"/>
        <w:widowControl/>
        <w:numPr>
          <w:ilvl w:val="0"/>
          <w:numId w:val="7"/>
        </w:numPr>
        <w:suppressAutoHyphens w:val="true"/>
        <w:bidi w:val="0"/>
        <w:spacing w:lineRule="auto" w:line="276"/>
        <w:rPr>
          <w:color w:val="auto"/>
        </w:rPr>
      </w:pPr>
      <w:r>
        <w:rPr>
          <w:rFonts w:eastAsia="Times New Roman" w:cs="Times New Roman"/>
          <w:color w:val="auto"/>
          <w:kern w:val="0"/>
          <w:szCs w:val="24"/>
          <w:lang w:val="lt-LT" w:eastAsia="en-US" w:bidi="ar-SA"/>
        </w:rPr>
        <w:t>Nenaudokite ant liejamos dangos riedučių, riedlenčių, dviračių, mopedų ir kitųtransporto priemonių, išskyrus vežimėlius.</w:t>
      </w:r>
    </w:p>
    <w:p>
      <w:pPr>
        <w:pStyle w:val="Paprtekstas"/>
        <w:widowControl/>
        <w:numPr>
          <w:ilvl w:val="0"/>
          <w:numId w:val="7"/>
        </w:numPr>
        <w:suppressAutoHyphens w:val="true"/>
        <w:bidi w:val="0"/>
        <w:spacing w:lineRule="auto" w:line="276"/>
        <w:rPr>
          <w:color w:val="auto"/>
        </w:rPr>
      </w:pPr>
      <w:r>
        <w:rPr>
          <w:rFonts w:eastAsia="Times New Roman" w:cs="Times New Roman"/>
          <w:color w:val="auto"/>
          <w:kern w:val="0"/>
          <w:szCs w:val="24"/>
          <w:lang w:val="lt-LT" w:eastAsia="en-US" w:bidi="ar-SA"/>
        </w:rPr>
        <w:t>Neleiskite, kad ant dangos ilgą laiką stovėtų lietaus vanduo. Užsistovėjęs vanduo gali sukelti EPDM arba SBR amortizavimo sluoksnio eroziją.</w:t>
      </w:r>
    </w:p>
    <w:p>
      <w:pPr>
        <w:pStyle w:val="Paprtekstas"/>
        <w:widowControl/>
        <w:numPr>
          <w:ilvl w:val="0"/>
          <w:numId w:val="7"/>
        </w:numPr>
        <w:suppressAutoHyphens w:val="true"/>
        <w:bidi w:val="0"/>
        <w:spacing w:lineRule="auto" w:line="276"/>
        <w:rPr>
          <w:color w:val="auto"/>
        </w:rPr>
      </w:pPr>
      <w:r>
        <w:rPr>
          <w:rFonts w:eastAsia="Times New Roman" w:cs="Times New Roman"/>
          <w:color w:val="auto"/>
          <w:kern w:val="0"/>
          <w:szCs w:val="24"/>
          <w:lang w:val="lt-LT" w:eastAsia="en-US" w:bidi="ar-SA"/>
        </w:rPr>
        <w:t>Naudokite valymo įrankius, kurie nepažeidžia paviršiaus, pvz. šepečius su minkštais šeriais, benzininį pūstuvą,slėgio plovikį. Nepriimtina naudoti valymo ar sniego valymo įrankius su aštriomis briaunomis.</w:t>
      </w:r>
    </w:p>
    <w:p>
      <w:pPr>
        <w:pStyle w:val="Paprtekstas"/>
        <w:widowControl/>
        <w:numPr>
          <w:ilvl w:val="0"/>
          <w:numId w:val="7"/>
        </w:numPr>
        <w:suppressAutoHyphens w:val="true"/>
        <w:bidi w:val="0"/>
        <w:spacing w:lineRule="auto" w:line="276"/>
        <w:rPr>
          <w:color w:val="auto"/>
        </w:rPr>
      </w:pPr>
      <w:r>
        <w:rPr>
          <w:rFonts w:eastAsia="Times New Roman" w:cs="Times New Roman"/>
          <w:color w:val="auto"/>
          <w:kern w:val="0"/>
          <w:szCs w:val="24"/>
          <w:lang w:val="lt-LT" w:eastAsia="en-US" w:bidi="ar-SA"/>
        </w:rPr>
        <w:t>Esant žemoms temperatūroms ant dangos gali susidaryti šerkšnas. Jokiu būdu nenaudokite druskų, tai gali pakenkti paviršiui.</w:t>
      </w:r>
    </w:p>
    <w:p>
      <w:pPr>
        <w:pStyle w:val="Paprtekstas"/>
        <w:widowControl/>
        <w:numPr>
          <w:ilvl w:val="0"/>
          <w:numId w:val="7"/>
        </w:numPr>
        <w:suppressAutoHyphens w:val="true"/>
        <w:bidi w:val="0"/>
        <w:spacing w:lineRule="auto" w:line="276"/>
        <w:rPr>
          <w:color w:val="auto"/>
        </w:rPr>
      </w:pPr>
      <w:r>
        <w:rPr>
          <w:rFonts w:eastAsia="Times New Roman" w:cs="Times New Roman"/>
          <w:color w:val="auto"/>
          <w:kern w:val="0"/>
          <w:szCs w:val="24"/>
          <w:lang w:val="lt-LT" w:eastAsia="en-US" w:bidi="ar-SA"/>
        </w:rPr>
        <w:t>Mažiausiai du kartus per metus, ankstyvą pavasarį ir vėlyvą rudenį, nuplaukite paviršių stipria vandens srove. Vandens srautas turi būti laikomas ne mažesniu kaip 70 cm atstumunuo paviršiaus. Jei būtina, šią procedūrą galima atlikti ir dažniau. Valymo tirpikliai gali sugadinti paviršių (dėl to nebus taikoma garantija), todėl labai užterštoms vietoms valyti,reikia naudoti kasdienio naudojimo buitinės chemijos skysčius, pvz.. indų plovikį. Jei kyla abejonių, kreipkitės į gamintoją.</w:t>
      </w:r>
    </w:p>
    <w:p>
      <w:pPr>
        <w:pStyle w:val="Paprtekstas"/>
        <w:widowControl/>
        <w:numPr>
          <w:ilvl w:val="0"/>
          <w:numId w:val="7"/>
        </w:numPr>
        <w:suppressAutoHyphens w:val="true"/>
        <w:bidi w:val="0"/>
        <w:spacing w:lineRule="auto" w:line="276"/>
        <w:rPr>
          <w:color w:val="auto"/>
        </w:rPr>
      </w:pPr>
      <w:r>
        <w:rPr>
          <w:rFonts w:eastAsia="Times New Roman" w:cs="Times New Roman"/>
          <w:color w:val="auto"/>
          <w:kern w:val="0"/>
          <w:szCs w:val="24"/>
          <w:lang w:val="lt-LT" w:eastAsia="en-US" w:bidi="ar-SA"/>
        </w:rPr>
        <w:t>Siekiant apsaugoti dangos paviršių nuo mechaninių pažeidimų, vietose, kuriose įrengtiįrengimai turi kontaktą su danga (svertinė supynės, spyruokliukai), reikia įrengti gumos apsaugas. Tai gali būti padanga, specialiai tam skirti iš anksto pagaminti atmušėjai, kitu atveju danga bus pažeista.</w:t>
      </w:r>
    </w:p>
    <w:p>
      <w:pPr>
        <w:pStyle w:val="Paprtekstas"/>
        <w:widowControl/>
        <w:numPr>
          <w:ilvl w:val="0"/>
          <w:numId w:val="7"/>
        </w:numPr>
        <w:suppressAutoHyphens w:val="true"/>
        <w:bidi w:val="0"/>
        <w:spacing w:lineRule="auto" w:line="276"/>
        <w:rPr>
          <w:color w:val="auto"/>
        </w:rPr>
      </w:pPr>
      <w:r>
        <w:rPr>
          <w:rFonts w:eastAsia="Times New Roman" w:cs="Times New Roman"/>
          <w:color w:val="auto"/>
          <w:kern w:val="0"/>
          <w:szCs w:val="24"/>
          <w:lang w:val="lt-LT" w:eastAsia="en-US" w:bidi="ar-SA"/>
        </w:rPr>
        <w:t xml:space="preserve">Patikrinkite paviršiaus pažeidimus. Greitai aptikti pažeidimai, žymiai sumažina remonto išlaidas ir pailgina dangos eksploatacijos laiką. </w:t>
      </w:r>
    </w:p>
    <w:p>
      <w:pPr>
        <w:pStyle w:val="Paprtekstas"/>
        <w:widowControl/>
        <w:suppressAutoHyphens w:val="true"/>
        <w:bidi w:val="0"/>
        <w:spacing w:lineRule="auto" w:line="276"/>
        <w:rPr>
          <w:color w:val="auto"/>
        </w:rPr>
      </w:pPr>
      <w:r>
        <w:rPr>
          <w:rFonts w:eastAsia="Times New Roman" w:cs="Times New Roman"/>
          <w:i/>
          <w:iCs/>
          <w:color w:val="auto"/>
          <w:kern w:val="0"/>
          <w:szCs w:val="24"/>
          <w:u w:val="single"/>
          <w:lang w:val="lt-LT" w:eastAsia="en-US" w:bidi="ar-SA"/>
        </w:rPr>
        <w:t>EPDM dangos tikrinimas</w:t>
      </w:r>
    </w:p>
    <w:p>
      <w:pPr>
        <w:pStyle w:val="Paprtekstas"/>
        <w:widowControl/>
        <w:suppressAutoHyphens w:val="true"/>
        <w:bidi w:val="0"/>
        <w:spacing w:lineRule="auto" w:line="276"/>
        <w:rPr>
          <w:color w:val="auto"/>
        </w:rPr>
      </w:pPr>
      <w:r>
        <w:rPr>
          <w:rFonts w:eastAsia="Times New Roman" w:cs="Times New Roman"/>
          <w:i/>
          <w:iCs/>
          <w:color w:val="auto"/>
          <w:kern w:val="0"/>
          <w:szCs w:val="24"/>
          <w:u w:val="single"/>
          <w:lang w:val="lt-LT" w:eastAsia="en-US" w:bidi="ar-SA"/>
        </w:rPr>
        <w:t xml:space="preserve"> </w:t>
      </w:r>
      <w:r>
        <w:rPr>
          <w:rFonts w:eastAsia="Times New Roman" w:cs="Times New Roman"/>
          <w:color w:val="auto"/>
          <w:kern w:val="0"/>
          <w:sz w:val="20"/>
          <w:szCs w:val="24"/>
          <w:lang w:val="lt-LT" w:eastAsia="en-US" w:bidi="ar-SA"/>
        </w:rPr>
        <w:t xml:space="preserve">EPDM danga turi būti reguliariai tikrinama, kad būtų pašalintos galimos grėsmės naudotojams. Natūralus dangos dėvėjimasis, įvairios oro ir taršos sąlygos, pakrančių vieta, įrangos amžius, gretimi medžiai sukelia lėtą dangos eroziją, ypač intensyviai eksploatuojamose vietose, pavyzdžiui po sūpynėmis. Be to, dauguma žaidimų aikštelių yra viešose vietose, kur galimi vandalizmo atvejai. Visi šie veiksniai turi įtakos paviršiaus techninių parametrų praradimui. Jei patikrinimo metu nustatoma, kad danga yra nesaugi ir jos negalima nedelsiant pataisyti, toliau šios dangos naudoti negalima. Todėl yra būtini reguliarūs dangos techninės būklės patikrinimai. </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Vadovaujantis LST EN 1177:2018 ir LST EN 11 76-1:2018 žaidimų aikštelėje, kurioje įrengtas saugus paviršius, atsižvelgiant į žaidimų aikštelės vietą, kuri gali turėti įtakos jos intensyviam ar įvairių amžiaus grupių naudojimui, vandalizmui ar kitų neigiamų veiksnių poveikiui, žaidimų aikštelės patikrinimai atliekami tokia tvarka:</w:t>
      </w:r>
    </w:p>
    <w:p>
      <w:pPr>
        <w:pStyle w:val="Paprtekstas"/>
        <w:widowControl/>
        <w:numPr>
          <w:ilvl w:val="0"/>
          <w:numId w:val="7"/>
        </w:numPr>
        <w:suppressAutoHyphens w:val="true"/>
        <w:bidi w:val="0"/>
        <w:spacing w:lineRule="auto" w:line="276"/>
        <w:rPr>
          <w:color w:val="auto"/>
        </w:rPr>
      </w:pPr>
      <w:r>
        <w:rPr>
          <w:rFonts w:eastAsia="Times New Roman" w:cs="Times New Roman"/>
          <w:b/>
          <w:bCs/>
          <w:color w:val="auto"/>
          <w:kern w:val="0"/>
          <w:szCs w:val="24"/>
          <w:lang w:val="lt-LT" w:eastAsia="en-US" w:bidi="ar-SA"/>
        </w:rPr>
        <w:t>Kasdieninis patikrinimas.</w:t>
      </w:r>
      <w:r>
        <w:rPr>
          <w:rFonts w:eastAsia="Times New Roman" w:cs="Times New Roman"/>
          <w:color w:val="auto"/>
          <w:kern w:val="0"/>
          <w:szCs w:val="24"/>
          <w:lang w:val="lt-LT" w:eastAsia="en-US" w:bidi="ar-SA"/>
        </w:rPr>
        <w:t xml:space="preserve"> Tai vizualinis dangos techninės būklės, mechaninio pažeidimo ir užteršimo įvertinimas.</w:t>
      </w:r>
    </w:p>
    <w:p>
      <w:pPr>
        <w:pStyle w:val="Paprtekstas"/>
        <w:widowControl/>
        <w:numPr>
          <w:ilvl w:val="0"/>
          <w:numId w:val="7"/>
        </w:numPr>
        <w:suppressAutoHyphens w:val="true"/>
        <w:bidi w:val="0"/>
        <w:spacing w:lineRule="auto" w:line="276"/>
        <w:rPr>
          <w:color w:val="auto"/>
        </w:rPr>
      </w:pPr>
      <w:r>
        <w:rPr>
          <w:rFonts w:eastAsia="Times New Roman" w:cs="Times New Roman"/>
          <w:b/>
          <w:bCs/>
          <w:color w:val="auto"/>
          <w:kern w:val="0"/>
          <w:szCs w:val="24"/>
          <w:lang w:val="lt-LT" w:eastAsia="en-US" w:bidi="ar-SA"/>
        </w:rPr>
        <w:t>Periodinis patikrinimas.</w:t>
      </w:r>
      <w:r>
        <w:rPr>
          <w:rFonts w:eastAsia="Times New Roman" w:cs="Times New Roman"/>
          <w:color w:val="auto"/>
          <w:kern w:val="0"/>
          <w:szCs w:val="24"/>
          <w:lang w:val="lt-LT" w:eastAsia="en-US" w:bidi="ar-SA"/>
        </w:rPr>
        <w:t xml:space="preserve"> Įvertinimas, kuris turi būti atliekamas kas 1–3 mėnesius. Patikrinimo dažnį nusistato vartotojas pagal aikštelės naudojimo intensyvumą ir pažeidimo galimybes. Periodinio patikrinimo metu, pirmiausia atliekami tie patys veiksmai, kaip ir kasdieniniame patikrinime.</w:t>
      </w:r>
    </w:p>
    <w:p>
      <w:pPr>
        <w:pStyle w:val="Paprtekstas"/>
        <w:widowControl/>
        <w:numPr>
          <w:ilvl w:val="0"/>
          <w:numId w:val="0"/>
        </w:numPr>
        <w:suppressAutoHyphens w:val="true"/>
        <w:bidi w:val="0"/>
        <w:spacing w:lineRule="auto" w:line="276"/>
        <w:ind w:hanging="0" w:left="227"/>
        <w:rPr>
          <w:color w:val="auto"/>
        </w:rPr>
      </w:pPr>
      <w:r>
        <w:rPr>
          <w:rFonts w:eastAsia="Times New Roman" w:cs="Times New Roman"/>
          <w:color w:val="auto"/>
          <w:kern w:val="0"/>
          <w:szCs w:val="24"/>
          <w:lang w:val="lt-LT" w:eastAsia="en-US" w:bidi="ar-SA"/>
        </w:rPr>
        <w:t>Taip pat patikrinama:</w:t>
      </w:r>
    </w:p>
    <w:p>
      <w:pPr>
        <w:pStyle w:val="Paprtekstas"/>
        <w:widowControl/>
        <w:numPr>
          <w:ilvl w:val="0"/>
          <w:numId w:val="7"/>
        </w:numPr>
        <w:suppressAutoHyphens w:val="true"/>
        <w:bidi w:val="0"/>
        <w:spacing w:lineRule="auto" w:line="276"/>
        <w:rPr>
          <w:color w:val="auto"/>
        </w:rPr>
      </w:pPr>
      <w:r>
        <w:rPr>
          <w:rFonts w:eastAsia="Times New Roman" w:cs="Times New Roman"/>
          <w:color w:val="auto"/>
          <w:kern w:val="0"/>
          <w:szCs w:val="24"/>
          <w:lang w:val="lt-LT" w:eastAsia="en-US" w:bidi="ar-SA"/>
        </w:rPr>
        <w:t>amortizavimo ir neslidumo savybes;</w:t>
      </w:r>
    </w:p>
    <w:p>
      <w:pPr>
        <w:pStyle w:val="Paprtekstas"/>
        <w:widowControl/>
        <w:numPr>
          <w:ilvl w:val="0"/>
          <w:numId w:val="7"/>
        </w:numPr>
        <w:suppressAutoHyphens w:val="true"/>
        <w:bidi w:val="0"/>
        <w:spacing w:lineRule="auto" w:line="276"/>
        <w:rPr>
          <w:color w:val="auto"/>
        </w:rPr>
      </w:pPr>
      <w:r>
        <w:rPr>
          <w:rFonts w:eastAsia="Times New Roman" w:cs="Times New Roman"/>
          <w:color w:val="auto"/>
          <w:kern w:val="0"/>
          <w:szCs w:val="24"/>
          <w:lang w:val="lt-LT" w:eastAsia="en-US" w:bidi="ar-SA"/>
        </w:rPr>
        <w:t>dangos sujungimus, jei dangoje yra spalvų deriniai ir grafikos modeliai;</w:t>
      </w:r>
    </w:p>
    <w:p>
      <w:pPr>
        <w:pStyle w:val="Paprtekstas"/>
        <w:widowControl/>
        <w:numPr>
          <w:ilvl w:val="0"/>
          <w:numId w:val="7"/>
        </w:numPr>
        <w:suppressAutoHyphens w:val="true"/>
        <w:bidi w:val="0"/>
        <w:spacing w:lineRule="auto" w:line="276"/>
        <w:rPr>
          <w:color w:val="auto"/>
        </w:rPr>
      </w:pPr>
      <w:r>
        <w:rPr>
          <w:rFonts w:eastAsia="Times New Roman" w:cs="Times New Roman"/>
          <w:color w:val="auto"/>
          <w:kern w:val="0"/>
          <w:szCs w:val="24"/>
          <w:lang w:val="lt-LT" w:eastAsia="en-US" w:bidi="ar-SA"/>
        </w:rPr>
        <w:t>ar danga neatitrūkusi ir vis dar prilipusi prie visų perimetro briaunų ir įrangos;</w:t>
      </w:r>
    </w:p>
    <w:p>
      <w:pPr>
        <w:pStyle w:val="Paprtekstas"/>
        <w:widowControl/>
        <w:numPr>
          <w:ilvl w:val="0"/>
          <w:numId w:val="7"/>
        </w:numPr>
        <w:suppressAutoHyphens w:val="true"/>
        <w:bidi w:val="0"/>
        <w:spacing w:lineRule="auto" w:line="276"/>
        <w:rPr>
          <w:color w:val="auto"/>
        </w:rPr>
      </w:pPr>
      <w:r>
        <w:rPr>
          <w:rFonts w:eastAsia="Times New Roman" w:cs="Times New Roman"/>
          <w:color w:val="auto"/>
          <w:kern w:val="0"/>
          <w:szCs w:val="24"/>
          <w:lang w:val="lt-LT" w:eastAsia="en-US" w:bidi="ar-SA"/>
        </w:rPr>
        <w:t>ar dangoje nėra užterštų ar aštrių daiktų;</w:t>
      </w:r>
    </w:p>
    <w:p>
      <w:pPr>
        <w:pStyle w:val="Paprtekstas"/>
        <w:widowControl/>
        <w:numPr>
          <w:ilvl w:val="0"/>
          <w:numId w:val="7"/>
        </w:numPr>
        <w:suppressAutoHyphens w:val="true"/>
        <w:bidi w:val="0"/>
        <w:spacing w:lineRule="auto" w:line="276"/>
        <w:rPr>
          <w:color w:val="auto"/>
        </w:rPr>
      </w:pPr>
      <w:r>
        <w:rPr>
          <w:rFonts w:eastAsia="Times New Roman" w:cs="Times New Roman"/>
          <w:color w:val="auto"/>
          <w:kern w:val="0"/>
          <w:szCs w:val="24"/>
          <w:lang w:val="lt-LT" w:eastAsia="en-US" w:bidi="ar-SA"/>
        </w:rPr>
        <w:t>ar danga nėra sugadinta, sudeginta ar pernelyg susidėvėjusi;</w:t>
      </w:r>
    </w:p>
    <w:p>
      <w:pPr>
        <w:pStyle w:val="Paprtekstas"/>
        <w:widowControl/>
        <w:numPr>
          <w:ilvl w:val="0"/>
          <w:numId w:val="7"/>
        </w:numPr>
        <w:suppressAutoHyphens w:val="true"/>
        <w:bidi w:val="0"/>
        <w:spacing w:lineRule="auto" w:line="276"/>
        <w:rPr>
          <w:color w:val="auto"/>
        </w:rPr>
      </w:pPr>
      <w:r>
        <w:rPr>
          <w:rFonts w:eastAsia="Times New Roman" w:cs="Times New Roman"/>
          <w:color w:val="auto"/>
          <w:kern w:val="0"/>
          <w:szCs w:val="24"/>
          <w:lang w:val="lt-LT" w:eastAsia="en-US" w:bidi="ar-SA"/>
        </w:rPr>
        <w:t>ar danga neužteršta lapais, druskomis ir grybeliu, samanomis ypač drėgnose ir tamsesnėse vietose ar kita organine medžiaga;</w:t>
      </w:r>
    </w:p>
    <w:p>
      <w:pPr>
        <w:pStyle w:val="Paprtekstas"/>
        <w:widowControl/>
        <w:numPr>
          <w:ilvl w:val="0"/>
          <w:numId w:val="7"/>
        </w:numPr>
        <w:suppressAutoHyphens w:val="true"/>
        <w:bidi w:val="0"/>
        <w:spacing w:lineRule="auto" w:line="276"/>
        <w:rPr>
          <w:color w:val="auto"/>
        </w:rPr>
      </w:pPr>
      <w:r>
        <w:rPr>
          <w:rFonts w:eastAsia="Times New Roman" w:cs="Times New Roman"/>
          <w:color w:val="auto"/>
          <w:kern w:val="0"/>
          <w:szCs w:val="24"/>
          <w:lang w:val="lt-LT" w:eastAsia="en-US" w:bidi="ar-SA"/>
        </w:rPr>
        <w:t>ar danga turi būti valoma su slėginiu plovikliu (tai turi būti atliekama du kartus per metus pagal rekomendacijas, pateiktas skyriuje apie dangos priežiūrą).</w:t>
      </w:r>
    </w:p>
    <w:p>
      <w:pPr>
        <w:pStyle w:val="Paprtekstas"/>
        <w:widowControl/>
        <w:numPr>
          <w:ilvl w:val="0"/>
          <w:numId w:val="7"/>
        </w:numPr>
        <w:suppressAutoHyphens w:val="true"/>
        <w:bidi w:val="0"/>
        <w:spacing w:lineRule="auto" w:line="276"/>
        <w:rPr>
          <w:color w:val="auto"/>
        </w:rPr>
      </w:pPr>
      <w:r>
        <w:rPr>
          <w:rFonts w:eastAsia="Times New Roman" w:cs="Times New Roman"/>
          <w:b/>
          <w:bCs/>
          <w:color w:val="auto"/>
          <w:kern w:val="0"/>
          <w:szCs w:val="24"/>
          <w:lang w:val="lt-LT" w:eastAsia="en-US" w:bidi="ar-SA"/>
        </w:rPr>
        <w:t>Kasmetinis patikrinimas</w:t>
      </w:r>
      <w:r>
        <w:rPr>
          <w:rFonts w:eastAsia="Times New Roman" w:cs="Times New Roman"/>
          <w:color w:val="auto"/>
          <w:kern w:val="0"/>
          <w:szCs w:val="24"/>
          <w:lang w:val="lt-LT" w:eastAsia="en-US" w:bidi="ar-SA"/>
        </w:rPr>
        <w:t xml:space="preserve"> - tai nuodugniausia dangos būklės tikrinimo procedūra. Šis patikrinimas turėtų būti atliekamas bent kartą per metus. Šio patikrinimo metu pirmiausia įvertinkite dangos techninę būklę dėl granulių erozijos, dangos deformacijos, vandens pralaidumo ir kt. Dalinis kasmetinis patikrinimas atliekamas kasdieninio ir periodinio patikrinimo metu.</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Vertinant EPDM dangos saugos lygį, ypač saugaus kritimo žaidimų aikštelių įrangos srityse, reikia atkreipti dėmesį, kad teisingai eksploatuojama danga visas savo smūgį sugeriančias savybės išlaiko 5 metus. Po 5 metų rekomenduojama atlikti dangos testavimą.</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Jei reikia patikrinti įrenginių ar dangos pamatus, reikia dangą atpjauti ir vėl iš naujo pakloti arba iš anksto įrengti revizinius dangčius. Naujai paklotos dangos kokybė nesiskirs, tačiauspalva skirsis nuo senos dangos arba matysis sujungimo linija. Tokiu atveju galima įlieti kitą spalvą ar sukurti grafinį piešinį, pavyzdžiui apskritimą.</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Šie trijų rūšių patikrinimai atliekami žaidimų aikštelėje yra minimali priemonė, vaikų saugumo užtikrinimui. Visi patikrinimai turi būti dokumentuojami, todėl turi būti EPDM dangos tikrinimo ir priežiūros žurnalas, kuriame registruojama žaidimų aikštelės patikrinimotiksli data ir visi atsakingo asmens komentarai ir asmens duomenys. Patikrinimus turėtų atlikti apmokytas asmuo arba įmonė, žinanti į ką reikia atkreipti dėmesį ir kaip tiksliai įvertinti dangos būklę.</w:t>
      </w:r>
    </w:p>
    <w:p>
      <w:pPr>
        <w:pStyle w:val="Paprtekstas"/>
        <w:widowControl/>
        <w:suppressAutoHyphens w:val="true"/>
        <w:bidi w:val="0"/>
        <w:spacing w:lineRule="auto" w:line="276"/>
        <w:rPr>
          <w:color w:val="auto"/>
        </w:rPr>
      </w:pPr>
      <w:r>
        <w:rPr>
          <w:rFonts w:eastAsia="Times New Roman" w:cs="Times New Roman"/>
          <w:i/>
          <w:iCs/>
          <w:color w:val="auto"/>
          <w:kern w:val="0"/>
          <w:szCs w:val="24"/>
          <w:u w:val="single"/>
          <w:lang w:val="lt-LT" w:eastAsia="en-US" w:bidi="ar-SA"/>
        </w:rPr>
        <w:t>EPDM dangos remontas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Mažai tikėtina, bet įmanoma, kad guminis paviršius po ilgo ar netinkamo naudojimo gali pradėti irti. Tai dažniausiai nutinka dėl instaliavimo metu įpilto nepakankamo dervos kiekio arba netinkamo paviršiaus suspaudimo, sulyginimo.</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Paviršius gali būti paklotas iš naujo, tačiau alternatyvi priemonė – padengti paviršių viršutinio dengimo produktu PU4292 (suskystinas poleritano rišiklis). Šis produktas gali būti naudojamas suveltu (pašiauštu) voleliu padengiant 5–8 m2/kg, priklausomai nuo gumos dalelių dydžio ir paviršiaus porėtumo. Šis būdas padės išlaikyti paviršiaus poringumą ir laidumą vandeniui.</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Norint atlikti dangos remontą savarankiškai, medžiagų galima įsigyti pas tiekėją. Tačiau dangos remontas turėtų būti patikėtas ilgametę patirtį turintiems meistrams, kad dėl netinkamai atlikto remonto nepasitaikytų problemų ateityje.</w:t>
      </w:r>
    </w:p>
    <w:p>
      <w:pPr>
        <w:pStyle w:val="Paprtekstas"/>
        <w:widowControl/>
        <w:suppressAutoHyphens w:val="true"/>
        <w:bidi w:val="0"/>
        <w:spacing w:lineRule="auto" w:line="276"/>
        <w:rPr>
          <w:color w:val="auto"/>
        </w:rPr>
      </w:pPr>
      <w:r>
        <w:rPr>
          <w:rFonts w:eastAsia="Times New Roman" w:cs="Times New Roman"/>
          <w:b/>
          <w:bCs/>
          <w:color w:val="auto"/>
          <w:kern w:val="0"/>
          <w:szCs w:val="24"/>
          <w:lang w:val="lt-LT" w:eastAsia="en-US" w:bidi="ar-SA"/>
        </w:rPr>
        <w:t xml:space="preserve">Paviršiaus remontas. </w:t>
      </w:r>
      <w:r>
        <w:rPr>
          <w:rFonts w:eastAsia="Times New Roman" w:cs="Times New Roman"/>
          <w:color w:val="auto"/>
          <w:kern w:val="0"/>
          <w:szCs w:val="24"/>
          <w:lang w:val="lt-LT" w:eastAsia="en-US" w:bidi="ar-SA"/>
        </w:rPr>
        <w:t xml:space="preserve">Pažeista danga išpjaunama aštriu peiliu. Nuimamas atpjautas viršutinis dangos sluoksnis. Esant reikalui, papildomas apatinis sluoksnis SBR granulėmis,tada įliejamas dėvimas EPDM dangos sluoksnis, prieš tai nugruntavus seną paviršių.Remontas neužtrunka ilgai, gali būti lengvai išpjaunamos bet kokios formos. Plati granulių spalvos paletė leidžia išlaikyti estetinę paviršiaus išvaizdą po remonto. </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 xml:space="preserve">Atliekant dangos remonto darbus, turi būti naudojamos tokios pat medžiagos ir technologijos, kaip ir įrenginėjant liejamą dangą. </w:t>
      </w:r>
    </w:p>
    <w:p>
      <w:pPr>
        <w:pStyle w:val="Paprtekstas"/>
        <w:widowControl/>
        <w:suppressAutoHyphens w:val="true"/>
        <w:bidi w:val="0"/>
        <w:spacing w:lineRule="auto" w:line="276"/>
        <w:rPr>
          <w:rFonts w:eastAsia="Times New Roman" w:cs="Times New Roman"/>
          <w:i/>
          <w:i/>
          <w:iCs/>
          <w:color w:val="auto"/>
          <w:kern w:val="0"/>
          <w:szCs w:val="24"/>
          <w:u w:val="single"/>
          <w:lang w:val="lt-LT" w:eastAsia="en-US" w:bidi="ar-SA"/>
        </w:rPr>
      </w:pPr>
      <w:r>
        <w:rPr>
          <w:rFonts w:eastAsia="Times New Roman" w:cs="Times New Roman"/>
          <w:i/>
          <w:iCs/>
          <w:color w:val="auto"/>
          <w:kern w:val="0"/>
          <w:szCs w:val="24"/>
          <w:u w:val="single"/>
          <w:lang w:val="lt-LT" w:eastAsia="en-US" w:bidi="ar-SA"/>
        </w:rPr>
      </w:r>
    </w:p>
    <w:p>
      <w:pPr>
        <w:pStyle w:val="Paprtekstas"/>
        <w:widowControl/>
        <w:suppressAutoHyphens w:val="true"/>
        <w:bidi w:val="0"/>
        <w:spacing w:lineRule="auto" w:line="276"/>
        <w:ind w:hanging="0"/>
        <w:rPr>
          <w:color w:val="auto"/>
        </w:rPr>
      </w:pPr>
      <w:r>
        <w:rPr>
          <w:rFonts w:eastAsia="Times New Roman" w:cs="Times New Roman"/>
          <w:b/>
          <w:bCs/>
          <w:color w:val="auto"/>
          <w:kern w:val="0"/>
          <w:sz w:val="22"/>
          <w:szCs w:val="22"/>
          <w:lang w:val="lt-LT" w:eastAsia="en-US" w:bidi="ar-SA"/>
        </w:rPr>
        <w:t>3.5.6. Bortai</w:t>
      </w:r>
    </w:p>
    <w:p>
      <w:pPr>
        <w:pStyle w:val="Paprtekstas"/>
        <w:widowControl/>
        <w:suppressAutoHyphens w:val="true"/>
        <w:bidi w:val="0"/>
        <w:spacing w:lineRule="auto" w:line="276"/>
        <w:rPr>
          <w:color w:val="auto"/>
        </w:rPr>
      </w:pPr>
      <w:r>
        <w:rPr>
          <w:rFonts w:eastAsia="Times New Roman" w:cs="Times New Roman"/>
          <w:i/>
          <w:iCs/>
          <w:color w:val="auto"/>
          <w:kern w:val="0"/>
          <w:szCs w:val="24"/>
          <w:u w:val="single"/>
          <w:lang w:val="lt-LT" w:eastAsia="en-US" w:bidi="ar-SA"/>
        </w:rPr>
        <w:t>Natūralaus akmens vejos bortai</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Prieš klojant plokščių dangas ar asfaltbetonio mišinį būsimos dangos kraštuose pastatomi bortai. Nurodytose vietose bortai įrengiami iš gatavų akmens gaminių ant betoninio pagrindo. Gaminiai turi atitikti LST EN 1343 bei LST EN 1343:2012 reikalavimus. Jeigu reikia trumpesnio, bortas nupjaunamas, skaldyti draudžiama. Visi bortai turi būti taisyklingi, jų paviršiai lygūs ir neištepti skiediniu. Gaminiai turi būti be nudaužytų briaunų, neįskilę.</w:t>
      </w:r>
    </w:p>
    <w:p>
      <w:pPr>
        <w:pStyle w:val="Paprtekstas"/>
        <w:widowControl/>
        <w:suppressAutoHyphens w:val="true"/>
        <w:bidi w:val="0"/>
        <w:spacing w:lineRule="auto" w:line="276"/>
        <w:rPr>
          <w:color w:val="auto"/>
        </w:rPr>
      </w:pPr>
      <w:r>
        <w:rPr>
          <w:rFonts w:eastAsia="Times New Roman" w:cs="Times New Roman"/>
          <w:i/>
          <w:iCs/>
          <w:color w:val="auto"/>
          <w:kern w:val="0"/>
          <w:szCs w:val="24"/>
          <w:u w:val="single"/>
          <w:lang w:val="lt-LT" w:eastAsia="en-US" w:bidi="ar-SA"/>
        </w:rPr>
        <w:t>Metaliniai vejos bortai BM-01</w:t>
      </w:r>
    </w:p>
    <w:p>
      <w:pPr>
        <w:pStyle w:val="Paprtekstas"/>
        <w:widowControl/>
        <w:suppressAutoHyphens w:val="true"/>
        <w:bidi w:val="0"/>
        <w:spacing w:lineRule="auto" w:line="276"/>
        <w:rPr>
          <w:color w:val="auto"/>
        </w:rPr>
      </w:pPr>
      <w:r>
        <w:rPr>
          <w:rFonts w:eastAsia="Times New Roman" w:cs="Times New Roman"/>
          <w:i/>
          <w:iCs/>
          <w:color w:val="auto"/>
          <w:kern w:val="0"/>
          <w:szCs w:val="24"/>
          <w:u w:val="single"/>
          <w:lang w:val="lt-LT" w:eastAsia="en-US" w:bidi="ar-SA"/>
        </w:rPr>
        <w:t xml:space="preserve"> </w:t>
      </w:r>
      <w:r>
        <w:rPr>
          <w:rFonts w:eastAsia="Times New Roman" w:cs="Times New Roman"/>
          <w:i/>
          <w:iCs/>
          <w:color w:val="auto"/>
          <w:kern w:val="0"/>
          <w:szCs w:val="24"/>
          <w:u w:val="single"/>
          <w:lang w:val="lt-LT" w:eastAsia="en-US" w:bidi="ar-SA"/>
        </w:rPr>
        <w:t xml:space="preserve">Medžių aprėminimas sutvirtinta dekoratyvine skalda. </w:t>
      </w:r>
      <w:r>
        <w:rPr>
          <w:rFonts w:eastAsia="Times New Roman" w:cs="Times New Roman"/>
          <w:color w:val="auto"/>
          <w:kern w:val="0"/>
          <w:szCs w:val="24"/>
          <w:lang w:val="lt-LT" w:eastAsia="en-US" w:bidi="ar-SA"/>
        </w:rPr>
        <w:t xml:space="preserve">Sutvirtinta dekoratyvinė skalda specialiu surišėju (dviejų komponentų sistetinių dervų rišikliu) įrengiama aplink esamų medžių kamienus prisilaikant ~300 mm atstumo nuo medžio kamieno (žiūr. Dangos pjūvį DP-8). Šis paviršius yra pralaidus vandeniui ir lengvai prižiūrimas bei valomas. </w:t>
      </w:r>
    </w:p>
    <w:p>
      <w:pPr>
        <w:pStyle w:val="Paprtekstas"/>
        <w:widowControl/>
        <w:suppressAutoHyphens w:val="true"/>
        <w:bidi w:val="0"/>
        <w:spacing w:lineRule="auto" w:line="276"/>
        <w:rPr>
          <w:color w:val="auto"/>
        </w:rPr>
      </w:pPr>
      <w:r>
        <w:rPr>
          <w:rFonts w:eastAsia="Times New Roman" w:cs="Times New Roman"/>
          <w:i/>
          <w:iCs/>
          <w:color w:val="auto"/>
          <w:kern w:val="0"/>
          <w:szCs w:val="24"/>
          <w:u w:val="single"/>
          <w:lang w:val="lt-LT" w:eastAsia="en-US" w:bidi="ar-SA"/>
        </w:rPr>
        <w:t xml:space="preserve">Specialaus surišėjo naudojimas: </w:t>
      </w:r>
      <w:r>
        <w:rPr>
          <w:rFonts w:eastAsia="Times New Roman" w:cs="Times New Roman"/>
          <w:color w:val="auto"/>
          <w:kern w:val="0"/>
          <w:szCs w:val="24"/>
          <w:lang w:val="lt-LT" w:eastAsia="en-US" w:bidi="ar-SA"/>
        </w:rPr>
        <w:t>Reikalavimai statybvietei: laikantysis pagrindas ir apatinė konstrukcijos dalis turi būti pralaidūs vandeniui. Nuo grunto sutvirtinta dekoratyvinė skalda su specialiu surišėju atskiriama vandeniui laidžia agrotekstile.Paviršiaus konstrukcija nėra pritaikyti važiuoti jokiam transportui. Ateities apkrovos neturi sukelti paviršiaus nusėdimų ar išsikraipymų.</w:t>
      </w:r>
    </w:p>
    <w:p>
      <w:pPr>
        <w:pStyle w:val="Paprtekstas"/>
        <w:widowControl/>
        <w:suppressAutoHyphens w:val="true"/>
        <w:bidi w:val="0"/>
        <w:spacing w:lineRule="auto" w:line="276"/>
        <w:rPr>
          <w:color w:val="auto"/>
        </w:rPr>
      </w:pPr>
      <w:r>
        <w:rPr>
          <w:rFonts w:eastAsia="Times New Roman" w:cs="Times New Roman"/>
          <w:i/>
          <w:iCs/>
          <w:color w:val="auto"/>
          <w:kern w:val="0"/>
          <w:szCs w:val="24"/>
          <w:u w:val="single"/>
          <w:lang w:val="lt-LT" w:eastAsia="en-US" w:bidi="ar-SA"/>
        </w:rPr>
        <w:t xml:space="preserve">Paruošimas: </w:t>
      </w:r>
      <w:r>
        <w:rPr>
          <w:rFonts w:eastAsia="Times New Roman" w:cs="Times New Roman"/>
          <w:color w:val="auto"/>
          <w:kern w:val="0"/>
          <w:szCs w:val="24"/>
          <w:lang w:val="lt-LT" w:eastAsia="en-US" w:bidi="ar-SA"/>
        </w:rPr>
        <w:t>Sutvirtinimui ruošiamas paviršiaus storis pagal dangos pjūvį (ne mažiau 50 mm storio). Besiribojantys paviršiai turi būti apsaugoti, uždengti. Skaldą būtina išplauti ir išdžiovinti.</w:t>
      </w:r>
    </w:p>
    <w:p>
      <w:pPr>
        <w:pStyle w:val="Paprtekstas"/>
        <w:widowControl/>
        <w:suppressAutoHyphens w:val="true"/>
        <w:bidi w:val="0"/>
        <w:spacing w:lineRule="auto" w:line="276"/>
        <w:rPr>
          <w:color w:val="auto"/>
        </w:rPr>
      </w:pPr>
      <w:r>
        <w:rPr>
          <w:rFonts w:eastAsia="Times New Roman" w:cs="Times New Roman"/>
          <w:i/>
          <w:iCs/>
          <w:color w:val="auto"/>
          <w:kern w:val="0"/>
          <w:szCs w:val="24"/>
          <w:u w:val="none"/>
          <w:lang w:val="lt-LT" w:eastAsia="en-US" w:bidi="ar-SA"/>
        </w:rPr>
        <w:t>Skaldos valymas galimas dviem būdais: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1. Skaldos plovimui naudoti betono maišyklę – supilti skaldą, įpilti pakankamą kiekį švaraus vandens ir gerai išmaišyti bent 1 minutę. Baigus maišymą, atsargiai išpilti drumstą vandenį iš maišyklės. Esant poreikiui – pakartokti procesą, kol išpilamas vanduo bus švarus. Išplautą skaldą pakloti plonu sluoksniu ir visiškai išdžiovinti (idealiu atveju – esant tiesioginiams saulės spinduliams).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2. Kitu atveju, panaudoti švarią betono maišymo talpą – pripildyti vandeniu bei panaudoję metalinį sietą ar metalinį tinklą – panardinti skaldą – plauti iki kol ji taps švari. Džiovinti tokiu pat būdu kaip pirmuoju atveju. Esant drėgnai skaldai negalima naudoti specialaus surišėjo, nes skalda tinkamai nesutvirtės.</w:t>
      </w:r>
    </w:p>
    <w:p>
      <w:pPr>
        <w:pStyle w:val="Paprtekstas"/>
        <w:widowControl/>
        <w:suppressAutoHyphens w:val="true"/>
        <w:bidi w:val="0"/>
        <w:spacing w:lineRule="auto" w:line="276"/>
        <w:rPr>
          <w:color w:val="auto"/>
        </w:rPr>
      </w:pPr>
      <w:r>
        <w:rPr>
          <w:rFonts w:eastAsia="Times New Roman" w:cs="Times New Roman"/>
          <w:i/>
          <w:iCs/>
          <w:color w:val="auto"/>
          <w:kern w:val="0"/>
          <w:szCs w:val="24"/>
          <w:u w:val="single"/>
          <w:lang w:val="lt-LT" w:eastAsia="en-US" w:bidi="ar-SA"/>
        </w:rPr>
        <w:t>Maišymas:</w:t>
      </w:r>
      <w:r>
        <w:rPr>
          <w:rFonts w:eastAsia="Times New Roman" w:cs="Times New Roman"/>
          <w:color w:val="auto"/>
          <w:kern w:val="0"/>
          <w:szCs w:val="24"/>
          <w:lang w:val="lt-LT" w:eastAsia="en-US" w:bidi="ar-SA"/>
        </w:rPr>
        <w:t xml:space="preserve"> Supilti jau paruoštos švarios sausos skaldos į betono maišyklę, įjungti ir pradėti maišymo procesą. Sukantis maišyklei, lėtai supilti abu sistetinių dervų rišiklio komponentus į maišyklę. Būtina įsitikinti, kad derva iš abiejų indų būtų visiškai išpilta į maišyklę nepaliekant jokių likučių. Bendras maišymo laikas – 6 minutės. Dėmesio: laikyti ir sandėliuoti šiltoje patalpoje, kad naudojimo metu derva būtų skysta ir kad lengviau bei ekonomiškiau susinaudotų visas indo turinys. Laikant produktą vėsioje vietoje derva tampa labiau klampesnė. Tokiu atveju reikia daugiau pastangų siekiant visiškai išpilti dervą. Iš esmės kuo labiau ir daugiau išnaudojama dervos, likučių nepaliekant viduje – tuo gaunamas geresnis rezultatas.</w:t>
      </w:r>
    </w:p>
    <w:p>
      <w:pPr>
        <w:pStyle w:val="Paprtekstas"/>
        <w:widowControl/>
        <w:suppressAutoHyphens w:val="true"/>
        <w:bidi w:val="0"/>
        <w:spacing w:lineRule="auto" w:line="276"/>
        <w:rPr>
          <w:color w:val="auto"/>
        </w:rPr>
      </w:pPr>
      <w:r>
        <w:rPr>
          <w:rFonts w:eastAsia="Times New Roman" w:cs="Times New Roman"/>
          <w:i/>
          <w:iCs/>
          <w:color w:val="auto"/>
          <w:kern w:val="0"/>
          <w:szCs w:val="24"/>
          <w:u w:val="single"/>
          <w:lang w:val="lt-LT" w:eastAsia="en-US" w:bidi="ar-SA"/>
        </w:rPr>
        <w:t xml:space="preserve">Paruošto mišinio įrengimas: </w:t>
      </w:r>
      <w:r>
        <w:rPr>
          <w:rFonts w:eastAsia="Times New Roman" w:cs="Times New Roman"/>
          <w:color w:val="auto"/>
          <w:kern w:val="0"/>
          <w:szCs w:val="24"/>
          <w:lang w:val="lt-LT" w:eastAsia="en-US" w:bidi="ar-SA"/>
        </w:rPr>
        <w:t>išmaišytą masę pilti ant jau paruošto paviršiaus. Kastuvo arba slankiklio pagalba vienodu lygmeniu bei tolygiai paskirstyti po paviršių. Dangos storis – pagal dangos pjūvį (mažiausiai 30 mm). Masės sutankinimui ir išlyginimui naudokite lyginamąją mentelę arba vibroliniuotę. Kokybiškas sutankinimas yra labai svarbus, kadangi tai užtikrina dangos ilgaamžiškumą.</w:t>
      </w:r>
    </w:p>
    <w:p>
      <w:pPr>
        <w:pStyle w:val="Paprtekstas"/>
        <w:widowControl/>
        <w:suppressAutoHyphens w:val="true"/>
        <w:bidi w:val="0"/>
        <w:spacing w:lineRule="auto" w:line="276"/>
        <w:rPr>
          <w:color w:val="auto"/>
        </w:rPr>
      </w:pPr>
      <w:r>
        <w:rPr>
          <w:rFonts w:eastAsia="Times New Roman" w:cs="Times New Roman"/>
          <w:i/>
          <w:iCs/>
          <w:color w:val="auto"/>
          <w:kern w:val="0"/>
          <w:szCs w:val="24"/>
          <w:u w:val="single"/>
          <w:lang w:val="lt-LT" w:eastAsia="en-US" w:bidi="ar-SA"/>
        </w:rPr>
        <w:t>Tolimesnė priežiūra:</w:t>
      </w:r>
      <w:r>
        <w:rPr>
          <w:rFonts w:eastAsia="Times New Roman" w:cs="Times New Roman"/>
          <w:color w:val="auto"/>
          <w:kern w:val="0"/>
          <w:szCs w:val="24"/>
          <w:lang w:val="lt-LT" w:eastAsia="en-US" w:bidi="ar-SA"/>
        </w:rPr>
        <w:t xml:space="preserve"> šviežiai išlietas paviršius, esant lietaus tikimybei, turi būti apsaugotas nuo lietaus 24 valandas. Nekloti apsaugos nuo lietaus tiesiai ant paviršiaus, reikalinga oro cirkuliacija. Svarbu: esant abejonėms, visada rekomenduojame rišiklį išsibandyti ant nedidelio plotelio, kad įsitikinti ar rezultatas atitinka visus lūkesčius. Įsitikinkite, kad skalda būtų švari ir sausa, nes priešingu atveju paviršius gali nesulipti arba gali būti prarastas stipris.</w:t>
      </w:r>
    </w:p>
    <w:p>
      <w:pPr>
        <w:pStyle w:val="Paprtekstas"/>
        <w:widowControl/>
        <w:suppressAutoHyphens w:val="true"/>
        <w:bidi w:val="0"/>
        <w:spacing w:lineRule="auto" w:line="276"/>
        <w:rPr>
          <w:color w:val="auto"/>
        </w:rPr>
      </w:pPr>
      <w:r>
        <w:rPr>
          <w:rFonts w:eastAsia="Times New Roman" w:cs="Times New Roman"/>
          <w:i/>
          <w:iCs/>
          <w:color w:val="auto"/>
          <w:kern w:val="0"/>
          <w:szCs w:val="24"/>
          <w:u w:val="single"/>
          <w:lang w:val="lt-LT" w:eastAsia="en-US" w:bidi="ar-SA"/>
        </w:rPr>
        <w:t>Svarbu:</w:t>
      </w:r>
      <w:r>
        <w:rPr>
          <w:rFonts w:eastAsia="Times New Roman" w:cs="Times New Roman"/>
          <w:color w:val="auto"/>
          <w:kern w:val="0"/>
          <w:szCs w:val="24"/>
          <w:lang w:val="lt-LT" w:eastAsia="en-US" w:bidi="ar-SA"/>
        </w:rPr>
        <w:t xml:space="preserve"> Paviršiams, kurie patiria dideles apkrovas, iškart po dangos paklojimo, dar kartą pakartotinai panaudoti rišiklį, jį paviršiumi paskirstant teptuku arba voleliu. Šis papildomas užtepimas dar labiau sutvirtina paviršių. Skaičiuojama išeiga: ~ 200-300 ml/m2. Detalesnes specifikacijas ir nurodymus pateikia gamintojas.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Rišiklio techniniai duomenys:</w:t>
      </w:r>
    </w:p>
    <w:p>
      <w:pPr>
        <w:pStyle w:val="Paprtekstas"/>
        <w:widowControl/>
        <w:suppressAutoHyphens w:val="true"/>
        <w:bidi w:val="0"/>
        <w:spacing w:lineRule="auto" w:line="276"/>
        <w:rPr>
          <w:color w:val="auto"/>
        </w:rPr>
      </w:pPr>
      <w:r>
        <w:rPr/>
        <w:drawing>
          <wp:inline distT="0" distB="0" distL="0" distR="0">
            <wp:extent cx="5995670" cy="2384425"/>
            <wp:effectExtent l="0" t="0" r="0" b="0"/>
            <wp:docPr id="11" name="Image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38"/>
                    <pic:cNvPicPr>
                      <a:picLocks noChangeAspect="1" noChangeArrowheads="1"/>
                    </pic:cNvPicPr>
                  </pic:nvPicPr>
                  <pic:blipFill>
                    <a:blip r:embed="rId11"/>
                    <a:srcRect l="-171" t="-470" r="-171" b="-470"/>
                    <a:stretch>
                      <a:fillRect/>
                    </a:stretch>
                  </pic:blipFill>
                  <pic:spPr bwMode="auto">
                    <a:xfrm>
                      <a:off x="0" y="0"/>
                      <a:ext cx="5995670" cy="2384425"/>
                    </a:xfrm>
                    <a:prstGeom prst="rect">
                      <a:avLst/>
                    </a:prstGeom>
                    <a:noFill/>
                  </pic:spPr>
                </pic:pic>
              </a:graphicData>
            </a:graphic>
          </wp:inline>
        </w:drawing>
      </w:r>
    </w:p>
    <w:p>
      <w:pPr>
        <w:pStyle w:val="Paprtekstas"/>
        <w:widowControl/>
        <w:suppressAutoHyphens w:val="true"/>
        <w:bidi w:val="0"/>
        <w:spacing w:lineRule="auto" w:line="276"/>
        <w:ind w:hanging="0"/>
        <w:rPr>
          <w:color w:val="auto"/>
        </w:rPr>
      </w:pPr>
      <w:r>
        <w:rPr>
          <w:rFonts w:eastAsia="Times New Roman" w:cs="Times New Roman"/>
          <w:b/>
          <w:bCs/>
          <w:color w:val="auto"/>
          <w:kern w:val="0"/>
          <w:sz w:val="22"/>
          <w:szCs w:val="22"/>
          <w:lang w:val="lt-LT" w:eastAsia="en-US" w:bidi="ar-SA"/>
        </w:rPr>
        <w:t>3.6. Dangų gaminių ir medžiagų fiziniai – techniniai parametrai</w:t>
      </w:r>
    </w:p>
    <w:tbl>
      <w:tblPr>
        <w:tblStyle w:val="TableGrid"/>
        <w:tblW w:w="10202" w:type="dxa"/>
        <w:jc w:val="center"/>
        <w:tblInd w:w="0" w:type="dxa"/>
        <w:tblLayout w:type="fixed"/>
        <w:tblCellMar>
          <w:top w:w="108" w:type="dxa"/>
          <w:left w:w="108" w:type="dxa"/>
          <w:bottom w:w="108" w:type="dxa"/>
          <w:right w:w="108" w:type="dxa"/>
        </w:tblCellMar>
        <w:tblLook w:firstRow="1" w:noVBand="1" w:lastRow="0" w:firstColumn="1" w:lastColumn="0" w:noHBand="0" w:val="04a0"/>
      </w:tblPr>
      <w:tblGrid>
        <w:gridCol w:w="1184"/>
        <w:gridCol w:w="3386"/>
        <w:gridCol w:w="5632"/>
      </w:tblGrid>
      <w:tr>
        <w:trPr>
          <w:trHeight w:val="340" w:hRule="atLeast"/>
          <w:cantSplit w:val="true"/>
        </w:trPr>
        <w:tc>
          <w:tcPr>
            <w:tcW w:w="1184" w:type="dxa"/>
            <w:tcBorders/>
            <w:shd w:color="auto" w:fill="E7E6E6" w:themeFill="background2" w:val="clear"/>
            <w:vAlign w:val="center"/>
          </w:tcPr>
          <w:p>
            <w:pPr>
              <w:pStyle w:val="Normal"/>
              <w:widowControl/>
              <w:suppressAutoHyphens w:val="true"/>
              <w:spacing w:before="0" w:after="0"/>
              <w:jc w:val="center"/>
              <w:rPr>
                <w:color w:val="auto"/>
                <w:sz w:val="22"/>
              </w:rPr>
            </w:pPr>
            <w:r>
              <w:rPr>
                <w:rFonts w:eastAsia="Times New Roman" w:cs="Arial" w:ascii="Arial" w:hAnsi="Arial"/>
                <w:b/>
                <w:color w:val="000000"/>
                <w:kern w:val="0"/>
                <w:sz w:val="20"/>
                <w:szCs w:val="20"/>
                <w:shd w:fill="auto" w:val="clear"/>
                <w:lang w:val="lt-LT" w:eastAsia="en-US" w:bidi="ar-SA"/>
              </w:rPr>
              <w:t>Žymuo</w:t>
            </w:r>
          </w:p>
        </w:tc>
        <w:tc>
          <w:tcPr>
            <w:tcW w:w="3386" w:type="dxa"/>
            <w:tcBorders/>
            <w:shd w:color="auto" w:fill="E7E6E6" w:themeFill="background2" w:val="clear"/>
            <w:vAlign w:val="center"/>
          </w:tcPr>
          <w:p>
            <w:pPr>
              <w:pStyle w:val="Normal"/>
              <w:widowControl/>
              <w:suppressAutoHyphens w:val="true"/>
              <w:spacing w:before="0" w:after="0"/>
              <w:jc w:val="center"/>
              <w:rPr>
                <w:color w:val="auto"/>
                <w:sz w:val="22"/>
              </w:rPr>
            </w:pPr>
            <w:r>
              <w:rPr>
                <w:rFonts w:eastAsia="Times New Roman" w:cs="Arial" w:ascii="Arial" w:hAnsi="Arial"/>
                <w:b/>
                <w:color w:val="000000"/>
                <w:kern w:val="0"/>
                <w:sz w:val="20"/>
                <w:szCs w:val="20"/>
                <w:shd w:fill="auto" w:val="clear"/>
                <w:lang w:val="lt-LT" w:eastAsia="en-US" w:bidi="ar-SA"/>
              </w:rPr>
              <w:t>Pavyzdys</w:t>
            </w:r>
          </w:p>
        </w:tc>
        <w:tc>
          <w:tcPr>
            <w:tcW w:w="5632" w:type="dxa"/>
            <w:tcBorders/>
            <w:shd w:color="auto" w:fill="E7E6E6" w:themeFill="background2" w:val="clear"/>
            <w:vAlign w:val="center"/>
          </w:tcPr>
          <w:p>
            <w:pPr>
              <w:pStyle w:val="Normal"/>
              <w:widowControl/>
              <w:suppressAutoHyphens w:val="true"/>
              <w:spacing w:before="0" w:after="0"/>
              <w:jc w:val="center"/>
              <w:rPr>
                <w:color w:val="auto"/>
                <w:sz w:val="22"/>
              </w:rPr>
            </w:pPr>
            <w:r>
              <w:rPr>
                <w:rFonts w:eastAsia="Times New Roman" w:cs="Arial" w:ascii="Arial" w:hAnsi="Arial"/>
                <w:b/>
                <w:color w:val="000000"/>
                <w:kern w:val="0"/>
                <w:sz w:val="20"/>
                <w:szCs w:val="20"/>
                <w:shd w:fill="auto" w:val="clear"/>
                <w:lang w:val="lt-LT" w:eastAsia="en-US" w:bidi="ar-SA"/>
              </w:rPr>
              <w:t>Reikalavimai</w:t>
            </w:r>
          </w:p>
        </w:tc>
      </w:tr>
      <w:tr>
        <w:trPr>
          <w:trHeight w:val="2268" w:hRule="atLeast"/>
          <w:cantSplit w:val="true"/>
        </w:trPr>
        <w:tc>
          <w:tcPr>
            <w:tcW w:w="1184" w:type="dxa"/>
            <w:tcBorders/>
            <w:vAlign w:val="center"/>
          </w:tcPr>
          <w:p>
            <w:pPr>
              <w:pStyle w:val="Normal"/>
              <w:widowControl/>
              <w:suppressAutoHyphens w:val="true"/>
              <w:spacing w:before="0" w:after="0"/>
              <w:jc w:val="center"/>
              <w:rPr>
                <w:color w:val="auto"/>
                <w:sz w:val="22"/>
              </w:rPr>
            </w:pPr>
            <w:r>
              <w:rPr>
                <w:rFonts w:eastAsia="Times New Roman" w:cs="Arial" w:ascii="Arial" w:hAnsi="Arial"/>
                <w:color w:val="000000"/>
                <w:kern w:val="0"/>
                <w:sz w:val="20"/>
                <w:szCs w:val="20"/>
                <w:shd w:fill="auto" w:val="clear"/>
                <w:lang w:val="lt-LT" w:eastAsia="en-US" w:bidi="ar-SA"/>
              </w:rPr>
              <w:t>DB-01</w:t>
            </w:r>
          </w:p>
        </w:tc>
        <w:tc>
          <w:tcPr>
            <w:tcW w:w="3386" w:type="dxa"/>
            <w:tcBorders/>
            <w:vAlign w:val="center"/>
          </w:tcPr>
          <w:p>
            <w:pPr>
              <w:pStyle w:val="Normal"/>
              <w:widowControl/>
              <w:suppressAutoHyphens w:val="true"/>
              <w:spacing w:before="0" w:after="0"/>
              <w:jc w:val="center"/>
              <w:rPr>
                <w:color w:val="auto"/>
                <w:sz w:val="22"/>
              </w:rPr>
            </w:pPr>
            <w:r>
              <w:rPr/>
              <w:drawing>
                <wp:anchor behindDoc="0" distT="0" distB="0" distL="0" distR="0" simplePos="0" locked="0" layoutInCell="0" allowOverlap="1" relativeHeight="147">
                  <wp:simplePos x="0" y="0"/>
                  <wp:positionH relativeFrom="margin">
                    <wp:posOffset>807720</wp:posOffset>
                  </wp:positionH>
                  <wp:positionV relativeFrom="paragraph">
                    <wp:posOffset>467360</wp:posOffset>
                  </wp:positionV>
                  <wp:extent cx="1074420" cy="868680"/>
                  <wp:effectExtent l="0" t="0" r="0" b="0"/>
                  <wp:wrapSquare wrapText="largest"/>
                  <wp:docPr id="12"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5"/>
                          <pic:cNvPicPr>
                            <a:picLocks noChangeAspect="1" noChangeArrowheads="1"/>
                          </pic:cNvPicPr>
                        </pic:nvPicPr>
                        <pic:blipFill>
                          <a:blip r:embed="rId12"/>
                          <a:stretch>
                            <a:fillRect/>
                          </a:stretch>
                        </pic:blipFill>
                        <pic:spPr bwMode="auto">
                          <a:xfrm>
                            <a:off x="0" y="0"/>
                            <a:ext cx="1074420" cy="868680"/>
                          </a:xfrm>
                          <a:prstGeom prst="rect">
                            <a:avLst/>
                          </a:prstGeom>
                          <a:noFill/>
                        </pic:spPr>
                      </pic:pic>
                    </a:graphicData>
                  </a:graphic>
                </wp:anchor>
              </w:drawing>
              <w:drawing>
                <wp:inline distT="0" distB="0" distL="0" distR="0">
                  <wp:extent cx="702945" cy="708025"/>
                  <wp:effectExtent l="0" t="0" r="0" b="0"/>
                  <wp:docPr id="13" name="Picture 69" descr="C:\Users\Vartotojas\AppData\Local\Microsoft\Windows\INetCache\Content.Word\BT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69" descr="C:\Users\Vartotojas\AppData\Local\Microsoft\Windows\INetCache\Content.Word\BT8-1.jpg"/>
                          <pic:cNvPicPr>
                            <a:picLocks noChangeAspect="1" noChangeArrowheads="1"/>
                          </pic:cNvPicPr>
                        </pic:nvPicPr>
                        <pic:blipFill>
                          <a:blip r:embed="rId13"/>
                          <a:stretch>
                            <a:fillRect/>
                          </a:stretch>
                        </pic:blipFill>
                        <pic:spPr bwMode="auto">
                          <a:xfrm>
                            <a:off x="0" y="0"/>
                            <a:ext cx="702945" cy="708025"/>
                          </a:xfrm>
                          <a:prstGeom prst="rect">
                            <a:avLst/>
                          </a:prstGeom>
                          <a:noFill/>
                        </pic:spPr>
                      </pic:pic>
                    </a:graphicData>
                  </a:graphic>
                </wp:inline>
              </w:drawing>
            </w:r>
          </w:p>
        </w:tc>
        <w:tc>
          <w:tcPr>
            <w:tcW w:w="5632" w:type="dxa"/>
            <w:tcBorders/>
          </w:tcPr>
          <w:p>
            <w:pPr>
              <w:pStyle w:val="Normal"/>
              <w:widowControl/>
              <w:suppressAutoHyphens w:val="true"/>
              <w:spacing w:before="0" w:after="0"/>
              <w:jc w:val="left"/>
              <w:rPr>
                <w:color w:val="auto"/>
                <w:sz w:val="22"/>
              </w:rPr>
            </w:pPr>
            <w:r>
              <w:rPr>
                <w:rFonts w:eastAsia="Times New Roman" w:cs="Arial" w:ascii="Arial" w:hAnsi="Arial"/>
                <w:b/>
                <w:color w:val="000000"/>
                <w:kern w:val="0"/>
                <w:sz w:val="20"/>
                <w:szCs w:val="20"/>
                <w:shd w:fill="auto" w:val="clear"/>
                <w:lang w:val="lt-LT" w:eastAsia="en-US" w:bidi="ar-SA"/>
              </w:rPr>
              <w:t>Betono trinkelė (</w:t>
            </w:r>
            <w:r>
              <w:rPr>
                <w:rFonts w:eastAsia="Times New Roman" w:cs="Arial" w:ascii="Arial" w:hAnsi="Arial"/>
                <w:b/>
                <w:color w:val="000000"/>
                <w:kern w:val="0"/>
                <w:sz w:val="20"/>
                <w:szCs w:val="22"/>
                <w:shd w:fill="auto" w:val="clear"/>
                <w:lang w:val="lt-LT" w:eastAsia="en-US" w:bidi="ar-SA"/>
              </w:rPr>
              <w:t>padidinto atsparumo gniuždymui)</w:t>
            </w:r>
          </w:p>
          <w:p>
            <w:pPr>
              <w:pStyle w:val="Normal"/>
              <w:widowControl/>
              <w:suppressAutoHyphens w:val="true"/>
              <w:spacing w:before="0" w:after="0"/>
              <w:jc w:val="left"/>
              <w:rPr>
                <w:color w:val="auto"/>
                <w:sz w:val="22"/>
              </w:rPr>
            </w:pPr>
            <w:r>
              <w:rPr>
                <w:rFonts w:eastAsia="Times New Roman" w:cs="Arial" w:ascii="Arial" w:hAnsi="Arial"/>
                <w:b/>
                <w:color w:val="000000"/>
                <w:kern w:val="0"/>
                <w:sz w:val="20"/>
                <w:szCs w:val="20"/>
                <w:shd w:fill="auto" w:val="clear"/>
                <w:lang w:val="lt-LT" w:eastAsia="en-US" w:bidi="ar-SA"/>
              </w:rPr>
              <w:t>Matmenys</w:t>
            </w:r>
            <w:r>
              <w:rPr>
                <w:rFonts w:eastAsia="Times New Roman" w:cs="Arial" w:ascii="Arial" w:hAnsi="Arial"/>
                <w:color w:val="000000"/>
                <w:kern w:val="0"/>
                <w:sz w:val="20"/>
                <w:szCs w:val="20"/>
                <w:shd w:fill="auto" w:val="clear"/>
                <w:lang w:val="lt-LT" w:eastAsia="en-US" w:bidi="ar-SA"/>
              </w:rPr>
              <w:t>: 100x100x80 mm;</w:t>
            </w:r>
          </w:p>
          <w:p>
            <w:pPr>
              <w:pStyle w:val="Normal"/>
              <w:widowControl/>
              <w:suppressAutoHyphens w:val="true"/>
              <w:spacing w:before="0" w:after="0"/>
              <w:jc w:val="left"/>
              <w:rPr>
                <w:color w:val="auto"/>
                <w:sz w:val="22"/>
              </w:rPr>
            </w:pPr>
            <w:r>
              <w:rPr>
                <w:rFonts w:eastAsia="Times New Roman" w:cs="Arial" w:ascii="Arial" w:hAnsi="Arial"/>
                <w:b/>
                <w:color w:val="000000"/>
                <w:kern w:val="0"/>
                <w:sz w:val="20"/>
                <w:szCs w:val="20"/>
                <w:shd w:fill="auto" w:val="clear"/>
                <w:lang w:val="lt-LT" w:eastAsia="en-US" w:bidi="ar-SA"/>
              </w:rPr>
              <w:t>Paviršiaus tekstūra</w:t>
            </w:r>
            <w:r>
              <w:rPr>
                <w:rFonts w:eastAsia="Times New Roman" w:cs="Arial" w:ascii="Arial" w:hAnsi="Arial"/>
                <w:color w:val="000000"/>
                <w:kern w:val="0"/>
                <w:sz w:val="20"/>
                <w:szCs w:val="20"/>
                <w:shd w:fill="auto" w:val="clear"/>
                <w:lang w:val="lt-LT" w:eastAsia="en-US" w:bidi="ar-SA"/>
              </w:rPr>
              <w:t>: Natūralaus akmens;</w:t>
            </w:r>
          </w:p>
          <w:p>
            <w:pPr>
              <w:pStyle w:val="Normal"/>
              <w:widowControl/>
              <w:suppressAutoHyphens w:val="true"/>
              <w:spacing w:before="0" w:after="0"/>
              <w:jc w:val="left"/>
              <w:rPr>
                <w:color w:val="auto"/>
                <w:sz w:val="22"/>
              </w:rPr>
            </w:pPr>
            <w:r>
              <w:rPr>
                <w:rFonts w:eastAsia="Times New Roman" w:cs="Arial" w:ascii="Arial" w:hAnsi="Arial"/>
                <w:b/>
                <w:color w:val="000000"/>
                <w:kern w:val="0"/>
                <w:sz w:val="20"/>
                <w:szCs w:val="20"/>
                <w:shd w:fill="auto" w:val="clear"/>
                <w:lang w:val="lt-LT" w:eastAsia="en-US" w:bidi="ar-SA"/>
              </w:rPr>
              <w:t>Spalva</w:t>
            </w:r>
            <w:r>
              <w:rPr>
                <w:rFonts w:eastAsia="Times New Roman" w:cs="Arial" w:ascii="Arial" w:hAnsi="Arial"/>
                <w:color w:val="000000"/>
                <w:kern w:val="0"/>
                <w:sz w:val="20"/>
                <w:szCs w:val="20"/>
                <w:shd w:fill="auto" w:val="clear"/>
                <w:lang w:val="lt-LT" w:eastAsia="en-US" w:bidi="ar-SA"/>
              </w:rPr>
              <w:t>: Balta;</w:t>
            </w:r>
          </w:p>
          <w:p>
            <w:pPr>
              <w:pStyle w:val="Normal"/>
              <w:widowControl/>
              <w:suppressAutoHyphens w:val="true"/>
              <w:spacing w:before="0" w:after="0"/>
              <w:jc w:val="left"/>
              <w:rPr>
                <w:color w:val="auto"/>
                <w:sz w:val="22"/>
              </w:rPr>
            </w:pPr>
            <w:r>
              <w:rPr>
                <w:rFonts w:eastAsia="Times New Roman" w:cs="Arial" w:ascii="Arial" w:hAnsi="Arial"/>
                <w:b/>
                <w:color w:val="000000"/>
                <w:kern w:val="0"/>
                <w:sz w:val="20"/>
                <w:szCs w:val="20"/>
                <w:shd w:fill="auto" w:val="clear"/>
                <w:lang w:val="lt-LT" w:eastAsia="en-US" w:bidi="ar-SA"/>
              </w:rPr>
              <w:t>Aprašas</w:t>
            </w:r>
            <w:r>
              <w:rPr>
                <w:rFonts w:eastAsia="Times New Roman" w:cs="Arial" w:ascii="Arial" w:hAnsi="Arial"/>
                <w:color w:val="000000"/>
                <w:kern w:val="0"/>
                <w:sz w:val="20"/>
                <w:szCs w:val="20"/>
                <w:shd w:fill="auto" w:val="clear"/>
                <w:lang w:val="lt-LT" w:eastAsia="en-US" w:bidi="ar-SA"/>
              </w:rPr>
              <w:t>: Padidinto atsparumo betono grindinio trinkelė  LST EN 1338 + AC, krovininiam ir lengvajam transportui. Skeliant ≥ 3,6 MPa; atsparumas dilimui &lt; 20 mm, vandens įgėris &lt; 6 %; atsparumas slydimui (ASV) – 70.</w:t>
            </w:r>
          </w:p>
        </w:tc>
      </w:tr>
      <w:tr>
        <w:trPr>
          <w:trHeight w:val="2268" w:hRule="atLeast"/>
          <w:cantSplit w:val="true"/>
        </w:trPr>
        <w:tc>
          <w:tcPr>
            <w:tcW w:w="1184" w:type="dxa"/>
            <w:tcBorders>
              <w:top w:val="nil"/>
            </w:tcBorders>
            <w:vAlign w:val="center"/>
          </w:tcPr>
          <w:p>
            <w:pPr>
              <w:pStyle w:val="Normal"/>
              <w:widowControl/>
              <w:suppressAutoHyphens w:val="true"/>
              <w:spacing w:before="0" w:after="0"/>
              <w:jc w:val="center"/>
              <w:rPr>
                <w:color w:val="auto"/>
                <w:sz w:val="22"/>
              </w:rPr>
            </w:pPr>
            <w:r>
              <w:drawing>
                <wp:anchor behindDoc="0" distT="0" distB="0" distL="0" distR="0" simplePos="0" locked="0" layoutInCell="0" allowOverlap="1" relativeHeight="148">
                  <wp:simplePos x="0" y="0"/>
                  <wp:positionH relativeFrom="margin">
                    <wp:posOffset>1887855</wp:posOffset>
                  </wp:positionH>
                  <wp:positionV relativeFrom="paragraph">
                    <wp:posOffset>659130</wp:posOffset>
                  </wp:positionV>
                  <wp:extent cx="876300" cy="829945"/>
                  <wp:effectExtent l="0" t="0" r="0" b="0"/>
                  <wp:wrapSquare wrapText="largest"/>
                  <wp:docPr id="14"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6"/>
                          <pic:cNvPicPr>
                            <a:picLocks noChangeAspect="1" noChangeArrowheads="1"/>
                          </pic:cNvPicPr>
                        </pic:nvPicPr>
                        <pic:blipFill>
                          <a:blip r:embed="rId14"/>
                          <a:srcRect l="10373" t="0" r="10544" b="0"/>
                          <a:stretch>
                            <a:fillRect/>
                          </a:stretch>
                        </pic:blipFill>
                        <pic:spPr bwMode="auto">
                          <a:xfrm>
                            <a:off x="0" y="0"/>
                            <a:ext cx="876300" cy="829945"/>
                          </a:xfrm>
                          <a:prstGeom prst="rect">
                            <a:avLst/>
                          </a:prstGeom>
                          <a:noFill/>
                        </pic:spPr>
                      </pic:pic>
                    </a:graphicData>
                  </a:graphic>
                </wp:anchor>
              </w:drawing>
            </w:r>
            <w:r>
              <w:rPr>
                <w:rFonts w:eastAsia="Times New Roman" w:cs="Arial" w:ascii="Arial" w:hAnsi="Arial"/>
                <w:color w:val="000000"/>
                <w:kern w:val="0"/>
                <w:sz w:val="20"/>
                <w:szCs w:val="20"/>
                <w:shd w:fill="auto" w:val="clear"/>
                <w:lang w:val="lt-LT" w:eastAsia="en-US" w:bidi="ar-SA"/>
              </w:rPr>
              <w:t>DB-02</w:t>
            </w:r>
          </w:p>
        </w:tc>
        <w:tc>
          <w:tcPr>
            <w:tcW w:w="3386" w:type="dxa"/>
            <w:tcBorders>
              <w:top w:val="nil"/>
            </w:tcBorders>
            <w:vAlign w:val="center"/>
          </w:tcPr>
          <w:p>
            <w:pPr>
              <w:pStyle w:val="Normal"/>
              <w:widowControl/>
              <w:suppressAutoHyphens w:val="true"/>
              <w:spacing w:before="0" w:after="0"/>
              <w:jc w:val="center"/>
              <w:rPr>
                <w:rFonts w:ascii="Arial" w:hAnsi="Arial" w:eastAsia="Times New Roman" w:cs="Arial"/>
                <w:color w:val="auto"/>
                <w:kern w:val="0"/>
                <w:sz w:val="20"/>
                <w:szCs w:val="20"/>
                <w:highlight w:val="none"/>
                <w:shd w:fill="auto" w:val="clear"/>
                <w:lang w:val="lt-LT" w:eastAsia="en-US" w:bidi="ar-SA"/>
              </w:rPr>
            </w:pPr>
            <w:r>
              <w:rPr>
                <w:rFonts w:eastAsia="Times New Roman" w:cs="Arial" w:ascii="Arial" w:hAnsi="Arial"/>
                <w:color w:val="auto"/>
                <w:kern w:val="0"/>
                <w:sz w:val="20"/>
                <w:szCs w:val="20"/>
                <w:shd w:fill="auto" w:val="clear"/>
                <w:lang w:val="lt-LT" w:eastAsia="en-US" w:bidi="ar-SA"/>
              </w:rPr>
              <w:drawing>
                <wp:anchor behindDoc="0" distT="0" distB="0" distL="0" distR="0" simplePos="0" locked="0" layoutInCell="0" allowOverlap="1" relativeHeight="149">
                  <wp:simplePos x="0" y="0"/>
                  <wp:positionH relativeFrom="column">
                    <wp:posOffset>123190</wp:posOffset>
                  </wp:positionH>
                  <wp:positionV relativeFrom="paragraph">
                    <wp:posOffset>36195</wp:posOffset>
                  </wp:positionV>
                  <wp:extent cx="1029970" cy="676910"/>
                  <wp:effectExtent l="0" t="0" r="0" b="0"/>
                  <wp:wrapSquare wrapText="largest"/>
                  <wp:docPr id="15"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7"/>
                          <pic:cNvPicPr>
                            <a:picLocks noChangeAspect="1" noChangeArrowheads="1"/>
                          </pic:cNvPicPr>
                        </pic:nvPicPr>
                        <pic:blipFill>
                          <a:blip r:embed="rId15"/>
                          <a:stretch>
                            <a:fillRect/>
                          </a:stretch>
                        </pic:blipFill>
                        <pic:spPr bwMode="auto">
                          <a:xfrm>
                            <a:off x="0" y="0"/>
                            <a:ext cx="1029970" cy="676910"/>
                          </a:xfrm>
                          <a:prstGeom prst="rect">
                            <a:avLst/>
                          </a:prstGeom>
                          <a:noFill/>
                        </pic:spPr>
                      </pic:pic>
                    </a:graphicData>
                  </a:graphic>
                </wp:anchor>
              </w:drawing>
            </w:r>
          </w:p>
        </w:tc>
        <w:tc>
          <w:tcPr>
            <w:tcW w:w="5632" w:type="dxa"/>
            <w:tcBorders>
              <w:top w:val="nil"/>
            </w:tcBorders>
          </w:tcPr>
          <w:p>
            <w:pPr>
              <w:pStyle w:val="Normal"/>
              <w:widowControl/>
              <w:suppressAutoHyphens w:val="true"/>
              <w:spacing w:before="0" w:after="0"/>
              <w:jc w:val="left"/>
              <w:rPr>
                <w:color w:val="auto"/>
                <w:sz w:val="22"/>
              </w:rPr>
            </w:pPr>
            <w:r>
              <w:rPr>
                <w:rFonts w:eastAsia="Times New Roman" w:cs="Arial" w:ascii="Arial" w:hAnsi="Arial"/>
                <w:b/>
                <w:color w:val="000000"/>
                <w:kern w:val="0"/>
                <w:sz w:val="20"/>
                <w:szCs w:val="20"/>
                <w:shd w:fill="auto" w:val="clear"/>
                <w:lang w:val="lt-LT" w:eastAsia="en-US" w:bidi="ar-SA"/>
              </w:rPr>
              <w:t>Betono trinkelė (</w:t>
            </w:r>
            <w:r>
              <w:rPr>
                <w:rFonts w:eastAsia="Times New Roman" w:cs="Arial" w:ascii="Arial" w:hAnsi="Arial"/>
                <w:b/>
                <w:color w:val="000000"/>
                <w:kern w:val="0"/>
                <w:sz w:val="20"/>
                <w:szCs w:val="22"/>
                <w:shd w:fill="auto" w:val="clear"/>
                <w:lang w:val="lt-LT" w:eastAsia="en-US" w:bidi="ar-SA"/>
              </w:rPr>
              <w:t>padidinto atsparumo gniuždymui)</w:t>
            </w:r>
          </w:p>
          <w:p>
            <w:pPr>
              <w:pStyle w:val="Normal"/>
              <w:widowControl/>
              <w:suppressAutoHyphens w:val="true"/>
              <w:spacing w:before="0" w:after="0"/>
              <w:jc w:val="left"/>
              <w:rPr>
                <w:color w:val="auto"/>
                <w:sz w:val="22"/>
              </w:rPr>
            </w:pPr>
            <w:r>
              <w:rPr>
                <w:rFonts w:eastAsia="Times New Roman" w:cs="Arial" w:ascii="Arial" w:hAnsi="Arial"/>
                <w:b/>
                <w:color w:val="000000"/>
                <w:kern w:val="0"/>
                <w:sz w:val="20"/>
                <w:szCs w:val="20"/>
                <w:shd w:fill="auto" w:val="clear"/>
                <w:lang w:val="lt-LT" w:eastAsia="en-US" w:bidi="ar-SA"/>
              </w:rPr>
              <w:t>Matmenys</w:t>
            </w:r>
            <w:r>
              <w:rPr>
                <w:rFonts w:eastAsia="Times New Roman" w:cs="Arial" w:ascii="Arial" w:hAnsi="Arial"/>
                <w:color w:val="000000"/>
                <w:kern w:val="0"/>
                <w:sz w:val="20"/>
                <w:szCs w:val="20"/>
                <w:shd w:fill="auto" w:val="clear"/>
                <w:lang w:val="lt-LT" w:eastAsia="en-US" w:bidi="ar-SA"/>
              </w:rPr>
              <w:t>: 200x70x80 mm;</w:t>
            </w:r>
          </w:p>
          <w:p>
            <w:pPr>
              <w:pStyle w:val="Normal"/>
              <w:widowControl/>
              <w:suppressAutoHyphens w:val="true"/>
              <w:spacing w:before="0" w:after="0"/>
              <w:jc w:val="left"/>
              <w:rPr>
                <w:color w:val="auto"/>
                <w:sz w:val="22"/>
              </w:rPr>
            </w:pPr>
            <w:r>
              <w:rPr>
                <w:rFonts w:eastAsia="Times New Roman" w:cs="Arial" w:ascii="Arial" w:hAnsi="Arial"/>
                <w:b/>
                <w:color w:val="000000"/>
                <w:kern w:val="0"/>
                <w:sz w:val="20"/>
                <w:szCs w:val="20"/>
                <w:shd w:fill="auto" w:val="clear"/>
                <w:lang w:val="lt-LT" w:eastAsia="en-US" w:bidi="ar-SA"/>
              </w:rPr>
              <w:t>Paviršiaus tekstūra</w:t>
            </w:r>
            <w:r>
              <w:rPr>
                <w:rFonts w:eastAsia="Times New Roman" w:cs="Arial" w:ascii="Arial" w:hAnsi="Arial"/>
                <w:color w:val="000000"/>
                <w:kern w:val="0"/>
                <w:sz w:val="20"/>
                <w:szCs w:val="20"/>
                <w:shd w:fill="auto" w:val="clear"/>
                <w:lang w:val="lt-LT" w:eastAsia="en-US" w:bidi="ar-SA"/>
              </w:rPr>
              <w:t>: Natūralaus akmens;</w:t>
            </w:r>
          </w:p>
          <w:p>
            <w:pPr>
              <w:pStyle w:val="Normal"/>
              <w:widowControl/>
              <w:suppressAutoHyphens w:val="true"/>
              <w:spacing w:before="0" w:after="0"/>
              <w:jc w:val="left"/>
              <w:rPr>
                <w:color w:val="auto"/>
                <w:sz w:val="22"/>
              </w:rPr>
            </w:pPr>
            <w:r>
              <w:rPr>
                <w:rFonts w:eastAsia="Times New Roman" w:cs="Arial" w:ascii="Arial" w:hAnsi="Arial"/>
                <w:b/>
                <w:color w:val="000000"/>
                <w:kern w:val="0"/>
                <w:sz w:val="20"/>
                <w:szCs w:val="20"/>
                <w:shd w:fill="auto" w:val="clear"/>
                <w:lang w:val="lt-LT" w:eastAsia="en-US" w:bidi="ar-SA"/>
              </w:rPr>
              <w:t>Spalva</w:t>
            </w:r>
            <w:r>
              <w:rPr>
                <w:rFonts w:eastAsia="Times New Roman" w:cs="Arial" w:ascii="Arial" w:hAnsi="Arial"/>
                <w:color w:val="000000"/>
                <w:kern w:val="0"/>
                <w:sz w:val="20"/>
                <w:szCs w:val="20"/>
                <w:shd w:fill="auto" w:val="clear"/>
                <w:lang w:val="lt-LT" w:eastAsia="en-US" w:bidi="ar-SA"/>
              </w:rPr>
              <w:t>: Balta;</w:t>
            </w:r>
          </w:p>
          <w:p>
            <w:pPr>
              <w:pStyle w:val="Normal"/>
              <w:widowControl/>
              <w:suppressAutoHyphens w:val="true"/>
              <w:spacing w:before="0" w:after="0"/>
              <w:jc w:val="left"/>
              <w:rPr>
                <w:color w:val="auto"/>
                <w:sz w:val="22"/>
              </w:rPr>
            </w:pPr>
            <w:r>
              <w:rPr>
                <w:rFonts w:eastAsia="Times New Roman" w:cs="Arial" w:ascii="Arial" w:hAnsi="Arial"/>
                <w:b/>
                <w:color w:val="000000"/>
                <w:kern w:val="0"/>
                <w:sz w:val="20"/>
                <w:szCs w:val="20"/>
                <w:shd w:fill="auto" w:val="clear"/>
                <w:lang w:val="lt-LT" w:eastAsia="en-US" w:bidi="ar-SA"/>
              </w:rPr>
              <w:t>Aprašas</w:t>
            </w:r>
            <w:r>
              <w:rPr>
                <w:rFonts w:eastAsia="Times New Roman" w:cs="Arial" w:ascii="Arial" w:hAnsi="Arial"/>
                <w:color w:val="000000"/>
                <w:kern w:val="0"/>
                <w:sz w:val="20"/>
                <w:szCs w:val="20"/>
                <w:shd w:fill="auto" w:val="clear"/>
                <w:lang w:val="lt-LT" w:eastAsia="en-US" w:bidi="ar-SA"/>
              </w:rPr>
              <w:t>: Padidinto atsparumo betono grindinio trinkelė  LST EN 1338 + AC, krovininiam ir lengvajam transportui. Skeliant ≥ 3,6 MPa; atsparumas dilimui &lt; 20 mm, vandens įgėris &lt; 6 %; atsparumas slydimui (ASV) – 70.</w:t>
            </w:r>
          </w:p>
        </w:tc>
      </w:tr>
      <w:tr>
        <w:trPr>
          <w:trHeight w:val="2268" w:hRule="atLeast"/>
          <w:cantSplit w:val="true"/>
        </w:trPr>
        <w:tc>
          <w:tcPr>
            <w:tcW w:w="1184" w:type="dxa"/>
            <w:tcBorders>
              <w:top w:val="nil"/>
            </w:tcBorders>
            <w:vAlign w:val="center"/>
          </w:tcPr>
          <w:p>
            <w:pPr>
              <w:pStyle w:val="Normal"/>
              <w:widowControl/>
              <w:suppressAutoHyphens w:val="true"/>
              <w:spacing w:before="0" w:after="0"/>
              <w:jc w:val="center"/>
              <w:rPr>
                <w:color w:val="auto"/>
                <w:sz w:val="22"/>
              </w:rPr>
            </w:pPr>
            <w:r>
              <w:rPr>
                <w:rFonts w:eastAsia="Times New Roman" w:cs="Arial" w:ascii="Arial" w:hAnsi="Arial"/>
                <w:color w:val="000000"/>
                <w:kern w:val="0"/>
                <w:sz w:val="20"/>
                <w:szCs w:val="20"/>
                <w:shd w:fill="auto" w:val="clear"/>
                <w:lang w:val="lt-LT" w:eastAsia="en-US" w:bidi="ar-SA"/>
              </w:rPr>
              <w:t>DG-01</w:t>
            </w:r>
          </w:p>
        </w:tc>
        <w:tc>
          <w:tcPr>
            <w:tcW w:w="3386" w:type="dxa"/>
            <w:tcBorders>
              <w:top w:val="nil"/>
            </w:tcBorders>
            <w:vAlign w:val="center"/>
          </w:tcPr>
          <w:p>
            <w:pPr>
              <w:pStyle w:val="Normal"/>
              <w:widowControl/>
              <w:suppressAutoHyphens w:val="true"/>
              <w:spacing w:before="0" w:after="0"/>
              <w:jc w:val="center"/>
              <w:rPr>
                <w:rFonts w:ascii="Arial" w:hAnsi="Arial" w:eastAsia="Times New Roman" w:cs="Arial"/>
                <w:color w:val="auto"/>
                <w:kern w:val="0"/>
                <w:sz w:val="20"/>
                <w:szCs w:val="20"/>
                <w:highlight w:val="none"/>
                <w:shd w:fill="auto" w:val="clear"/>
                <w:lang w:val="lt-LT" w:eastAsia="en-US" w:bidi="ar-SA"/>
              </w:rPr>
            </w:pPr>
            <w:r>
              <w:rPr/>
              <w:drawing>
                <wp:inline distT="0" distB="0" distL="0" distR="0">
                  <wp:extent cx="2012950" cy="1629410"/>
                  <wp:effectExtent l="0" t="0" r="0" b="0"/>
                  <wp:docPr id="16" name="Image2 Copy 4 Copy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2 Copy 4 Copy 6"/>
                          <pic:cNvPicPr>
                            <a:picLocks noChangeAspect="1" noChangeArrowheads="1"/>
                          </pic:cNvPicPr>
                        </pic:nvPicPr>
                        <pic:blipFill>
                          <a:blip r:embed="rId16"/>
                          <a:srcRect l="-602" t="-744" r="-602" b="-744"/>
                          <a:stretch>
                            <a:fillRect/>
                          </a:stretch>
                        </pic:blipFill>
                        <pic:spPr bwMode="auto">
                          <a:xfrm>
                            <a:off x="0" y="0"/>
                            <a:ext cx="2012950" cy="1629410"/>
                          </a:xfrm>
                          <a:prstGeom prst="rect">
                            <a:avLst/>
                          </a:prstGeom>
                          <a:noFill/>
                        </pic:spPr>
                      </pic:pic>
                    </a:graphicData>
                  </a:graphic>
                </wp:inline>
              </w:drawing>
            </w:r>
          </w:p>
        </w:tc>
        <w:tc>
          <w:tcPr>
            <w:tcW w:w="5632" w:type="dxa"/>
            <w:tcBorders>
              <w:top w:val="nil"/>
            </w:tcBorders>
          </w:tcPr>
          <w:p>
            <w:pPr>
              <w:pStyle w:val="Normal"/>
              <w:widowControl/>
              <w:suppressAutoHyphens w:val="true"/>
              <w:spacing w:before="0" w:after="0"/>
              <w:jc w:val="left"/>
              <w:rPr>
                <w:color w:val="auto"/>
                <w:sz w:val="22"/>
              </w:rPr>
            </w:pPr>
            <w:r>
              <w:rPr>
                <w:rFonts w:eastAsia="Times New Roman" w:cs="Arial" w:ascii="Arial" w:hAnsi="Arial"/>
                <w:b/>
                <w:color w:val="000000"/>
                <w:kern w:val="0"/>
                <w:sz w:val="20"/>
                <w:szCs w:val="22"/>
                <w:shd w:fill="auto" w:val="clear"/>
                <w:lang w:val="lt-LT" w:eastAsia="en-US" w:bidi="ar-SA"/>
              </w:rPr>
              <w:t>Natūralaus akmens danga</w:t>
            </w:r>
          </w:p>
          <w:p>
            <w:pPr>
              <w:pStyle w:val="Normal"/>
              <w:widowControl/>
              <w:suppressAutoHyphens w:val="true"/>
              <w:spacing w:before="0" w:after="0"/>
              <w:jc w:val="left"/>
              <w:rPr>
                <w:color w:val="auto"/>
                <w:sz w:val="22"/>
              </w:rPr>
            </w:pPr>
            <w:r>
              <w:rPr>
                <w:rFonts w:eastAsia="Times New Roman" w:cs="Arial" w:ascii="Arial" w:hAnsi="Arial"/>
                <w:b/>
                <w:color w:val="000000"/>
                <w:kern w:val="0"/>
                <w:sz w:val="20"/>
                <w:szCs w:val="20"/>
                <w:shd w:fill="auto" w:val="clear"/>
                <w:lang w:val="lt-LT" w:eastAsia="en-US" w:bidi="ar-SA"/>
              </w:rPr>
              <w:t>Matmenys</w:t>
            </w:r>
            <w:r>
              <w:rPr>
                <w:rFonts w:eastAsia="Times New Roman" w:cs="Arial" w:ascii="Arial" w:hAnsi="Arial"/>
                <w:color w:val="000000"/>
                <w:kern w:val="0"/>
                <w:sz w:val="20"/>
                <w:szCs w:val="20"/>
                <w:shd w:fill="auto" w:val="clear"/>
                <w:lang w:val="lt-LT" w:eastAsia="en-US" w:bidi="ar-SA"/>
              </w:rPr>
              <w:t>: 200x100 mm, d- 80 mm;</w:t>
            </w:r>
          </w:p>
          <w:p>
            <w:pPr>
              <w:pStyle w:val="Normal"/>
              <w:widowControl/>
              <w:suppressAutoHyphens w:val="true"/>
              <w:spacing w:before="0" w:after="0"/>
              <w:jc w:val="left"/>
              <w:rPr>
                <w:color w:val="auto"/>
                <w:sz w:val="22"/>
              </w:rPr>
            </w:pPr>
            <w:r>
              <w:rPr>
                <w:rFonts w:eastAsia="Times New Roman" w:cs="Arial" w:ascii="Arial" w:hAnsi="Arial"/>
                <w:b/>
                <w:color w:val="000000"/>
                <w:kern w:val="0"/>
                <w:sz w:val="20"/>
                <w:szCs w:val="20"/>
                <w:shd w:fill="auto" w:val="clear"/>
                <w:lang w:val="lt-LT" w:eastAsia="en-US" w:bidi="ar-SA"/>
              </w:rPr>
              <w:t>Spalva</w:t>
            </w:r>
            <w:r>
              <w:rPr>
                <w:rFonts w:eastAsia="Times New Roman" w:cs="Arial" w:ascii="Arial" w:hAnsi="Arial"/>
                <w:color w:val="000000"/>
                <w:kern w:val="0"/>
                <w:sz w:val="20"/>
                <w:szCs w:val="20"/>
                <w:shd w:fill="auto" w:val="clear"/>
                <w:lang w:val="lt-LT" w:eastAsia="en-US" w:bidi="ar-SA"/>
              </w:rPr>
              <w:t>: Pilka;</w:t>
            </w:r>
          </w:p>
          <w:p>
            <w:pPr>
              <w:pStyle w:val="Normal"/>
              <w:widowControl/>
              <w:suppressAutoHyphens w:val="true"/>
              <w:spacing w:before="0" w:after="0"/>
              <w:jc w:val="left"/>
              <w:rPr>
                <w:color w:val="auto"/>
                <w:sz w:val="22"/>
              </w:rPr>
            </w:pPr>
            <w:r>
              <w:rPr>
                <w:rFonts w:eastAsia="Times New Roman" w:cs="Arial" w:ascii="Arial" w:hAnsi="Arial"/>
                <w:b/>
                <w:color w:val="000000"/>
                <w:kern w:val="0"/>
                <w:sz w:val="20"/>
                <w:szCs w:val="20"/>
                <w:shd w:fill="auto" w:val="clear"/>
                <w:lang w:val="lt-LT" w:eastAsia="en-US" w:bidi="ar-SA"/>
              </w:rPr>
              <w:t>Aprašas</w:t>
            </w:r>
            <w:r>
              <w:rPr>
                <w:rFonts w:eastAsia="Times New Roman" w:cs="Arial" w:ascii="Arial" w:hAnsi="Arial"/>
                <w:color w:val="000000"/>
                <w:kern w:val="0"/>
                <w:sz w:val="20"/>
                <w:szCs w:val="20"/>
                <w:shd w:fill="auto" w:val="clear"/>
                <w:lang w:val="lt-LT" w:eastAsia="en-US" w:bidi="ar-SA"/>
              </w:rPr>
              <w:t>: Aprašą žr. 3.7.  Natūralaus akmens fiziniai ir techniniai parametrai</w:t>
            </w:r>
          </w:p>
        </w:tc>
      </w:tr>
      <w:tr>
        <w:trPr>
          <w:trHeight w:val="2268" w:hRule="atLeast"/>
          <w:cantSplit w:val="true"/>
        </w:trPr>
        <w:tc>
          <w:tcPr>
            <w:tcW w:w="1184" w:type="dxa"/>
            <w:tcBorders>
              <w:top w:val="nil"/>
            </w:tcBorders>
            <w:vAlign w:val="center"/>
          </w:tcPr>
          <w:p>
            <w:pPr>
              <w:pStyle w:val="Normal"/>
              <w:widowControl/>
              <w:suppressAutoHyphens w:val="true"/>
              <w:spacing w:before="0" w:after="0"/>
              <w:jc w:val="center"/>
              <w:rPr>
                <w:color w:val="auto"/>
                <w:sz w:val="22"/>
              </w:rPr>
            </w:pPr>
            <w:r>
              <w:rPr>
                <w:rFonts w:eastAsia="Times New Roman" w:cs="Arial" w:ascii="Arial" w:hAnsi="Arial"/>
                <w:color w:val="000000"/>
                <w:kern w:val="0"/>
                <w:sz w:val="20"/>
                <w:szCs w:val="20"/>
                <w:shd w:fill="auto" w:val="clear"/>
                <w:lang w:val="lt-LT" w:eastAsia="en-US" w:bidi="ar-SA"/>
              </w:rPr>
              <w:t>DG-02</w:t>
            </w:r>
          </w:p>
        </w:tc>
        <w:tc>
          <w:tcPr>
            <w:tcW w:w="3386" w:type="dxa"/>
            <w:tcBorders>
              <w:top w:val="nil"/>
            </w:tcBorders>
            <w:vAlign w:val="center"/>
          </w:tcPr>
          <w:p>
            <w:pPr>
              <w:pStyle w:val="Normal"/>
              <w:widowControl/>
              <w:suppressAutoHyphens w:val="true"/>
              <w:spacing w:before="0" w:after="0"/>
              <w:jc w:val="center"/>
              <w:rPr>
                <w:rFonts w:ascii="Arial" w:hAnsi="Arial" w:eastAsia="Times New Roman" w:cs="Arial"/>
                <w:color w:val="auto"/>
                <w:kern w:val="0"/>
                <w:sz w:val="20"/>
                <w:szCs w:val="20"/>
                <w:highlight w:val="none"/>
                <w:shd w:fill="auto" w:val="clear"/>
                <w:lang w:val="lt-LT" w:eastAsia="en-US" w:bidi="ar-SA"/>
              </w:rPr>
            </w:pPr>
            <w:r>
              <w:rPr/>
              <w:drawing>
                <wp:inline distT="0" distB="0" distL="0" distR="0">
                  <wp:extent cx="1980565" cy="1603375"/>
                  <wp:effectExtent l="0" t="0" r="0" b="0"/>
                  <wp:docPr id="17" name="Image2 Copy 4 Copy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2 Copy 4 Copy 5"/>
                          <pic:cNvPicPr>
                            <a:picLocks noChangeAspect="1" noChangeArrowheads="1"/>
                          </pic:cNvPicPr>
                        </pic:nvPicPr>
                        <pic:blipFill>
                          <a:blip r:embed="rId17"/>
                          <a:srcRect l="-602" t="-744" r="-602" b="-744"/>
                          <a:stretch>
                            <a:fillRect/>
                          </a:stretch>
                        </pic:blipFill>
                        <pic:spPr bwMode="auto">
                          <a:xfrm>
                            <a:off x="0" y="0"/>
                            <a:ext cx="1980565" cy="1603375"/>
                          </a:xfrm>
                          <a:prstGeom prst="rect">
                            <a:avLst/>
                          </a:prstGeom>
                          <a:noFill/>
                        </pic:spPr>
                      </pic:pic>
                    </a:graphicData>
                  </a:graphic>
                </wp:inline>
              </w:drawing>
            </w:r>
          </w:p>
        </w:tc>
        <w:tc>
          <w:tcPr>
            <w:tcW w:w="5632" w:type="dxa"/>
            <w:tcBorders>
              <w:top w:val="nil"/>
            </w:tcBorders>
          </w:tcPr>
          <w:p>
            <w:pPr>
              <w:pStyle w:val="Normal"/>
              <w:widowControl/>
              <w:suppressAutoHyphens w:val="true"/>
              <w:spacing w:before="0" w:after="0"/>
              <w:jc w:val="left"/>
              <w:rPr>
                <w:color w:val="auto"/>
                <w:sz w:val="22"/>
              </w:rPr>
            </w:pPr>
            <w:r>
              <w:rPr>
                <w:rFonts w:eastAsia="Times New Roman" w:cs="Arial" w:ascii="Arial" w:hAnsi="Arial"/>
                <w:b/>
                <w:color w:val="000000"/>
                <w:kern w:val="0"/>
                <w:sz w:val="20"/>
                <w:szCs w:val="22"/>
                <w:shd w:fill="auto" w:val="clear"/>
                <w:lang w:val="lt-LT" w:eastAsia="en-US" w:bidi="ar-SA"/>
              </w:rPr>
              <w:t>Natūralaus akmens danga</w:t>
            </w:r>
          </w:p>
          <w:p>
            <w:pPr>
              <w:pStyle w:val="Normal"/>
              <w:widowControl/>
              <w:suppressAutoHyphens w:val="true"/>
              <w:spacing w:before="0" w:after="0"/>
              <w:jc w:val="left"/>
              <w:rPr>
                <w:color w:val="auto"/>
                <w:sz w:val="22"/>
              </w:rPr>
            </w:pPr>
            <w:r>
              <w:rPr>
                <w:rFonts w:eastAsia="Times New Roman" w:cs="Arial" w:ascii="Arial" w:hAnsi="Arial"/>
                <w:b/>
                <w:color w:val="000000"/>
                <w:kern w:val="0"/>
                <w:sz w:val="20"/>
                <w:szCs w:val="20"/>
                <w:shd w:fill="auto" w:val="clear"/>
                <w:lang w:val="lt-LT" w:eastAsia="en-US" w:bidi="ar-SA"/>
              </w:rPr>
              <w:t>Matmenys</w:t>
            </w:r>
            <w:r>
              <w:rPr>
                <w:rFonts w:eastAsia="Times New Roman" w:cs="Arial" w:ascii="Arial" w:hAnsi="Arial"/>
                <w:color w:val="000000"/>
                <w:kern w:val="0"/>
                <w:sz w:val="20"/>
                <w:szCs w:val="20"/>
                <w:shd w:fill="auto" w:val="clear"/>
                <w:lang w:val="lt-LT" w:eastAsia="en-US" w:bidi="ar-SA"/>
              </w:rPr>
              <w:t>: 1000x1000 mm., d- 60</w:t>
            </w:r>
          </w:p>
          <w:p>
            <w:pPr>
              <w:pStyle w:val="Normal"/>
              <w:widowControl/>
              <w:suppressAutoHyphens w:val="true"/>
              <w:spacing w:before="0" w:after="0"/>
              <w:jc w:val="left"/>
              <w:rPr>
                <w:color w:val="auto"/>
                <w:sz w:val="22"/>
              </w:rPr>
            </w:pPr>
            <w:r>
              <w:rPr>
                <w:rFonts w:eastAsia="Times New Roman" w:cs="Arial" w:ascii="Arial" w:hAnsi="Arial"/>
                <w:b/>
                <w:color w:val="000000"/>
                <w:kern w:val="0"/>
                <w:sz w:val="20"/>
                <w:szCs w:val="20"/>
                <w:shd w:fill="auto" w:val="clear"/>
                <w:lang w:val="lt-LT" w:eastAsia="en-US" w:bidi="ar-SA"/>
              </w:rPr>
              <w:t>Spalva</w:t>
            </w:r>
            <w:r>
              <w:rPr>
                <w:rFonts w:eastAsia="Times New Roman" w:cs="Arial" w:ascii="Arial" w:hAnsi="Arial"/>
                <w:color w:val="000000"/>
                <w:kern w:val="0"/>
                <w:sz w:val="20"/>
                <w:szCs w:val="20"/>
                <w:shd w:fill="auto" w:val="clear"/>
                <w:lang w:val="lt-LT" w:eastAsia="en-US" w:bidi="ar-SA"/>
              </w:rPr>
              <w:t>: Pilka;</w:t>
            </w:r>
          </w:p>
          <w:p>
            <w:pPr>
              <w:pStyle w:val="Normal"/>
              <w:widowControl/>
              <w:suppressAutoHyphens w:val="true"/>
              <w:spacing w:before="0" w:after="0"/>
              <w:jc w:val="left"/>
              <w:rPr>
                <w:color w:val="auto"/>
                <w:sz w:val="22"/>
              </w:rPr>
            </w:pPr>
            <w:r>
              <w:rPr>
                <w:rFonts w:eastAsia="Times New Roman" w:cs="Arial" w:ascii="Arial" w:hAnsi="Arial"/>
                <w:b/>
                <w:color w:val="000000"/>
                <w:kern w:val="0"/>
                <w:sz w:val="20"/>
                <w:szCs w:val="20"/>
                <w:shd w:fill="auto" w:val="clear"/>
                <w:lang w:val="lt-LT" w:eastAsia="en-US" w:bidi="ar-SA"/>
              </w:rPr>
              <w:t>Aprašas</w:t>
            </w:r>
            <w:r>
              <w:rPr>
                <w:rFonts w:eastAsia="Times New Roman" w:cs="Arial" w:ascii="Arial" w:hAnsi="Arial"/>
                <w:color w:val="000000"/>
                <w:kern w:val="0"/>
                <w:sz w:val="20"/>
                <w:szCs w:val="20"/>
                <w:shd w:fill="auto" w:val="clear"/>
                <w:lang w:val="lt-LT" w:eastAsia="en-US" w:bidi="ar-SA"/>
              </w:rPr>
              <w:t>:  Aprašą žr. 3.7.  Natūralaus akmens fiziniai ir techniniai parametrai</w:t>
            </w:r>
          </w:p>
        </w:tc>
      </w:tr>
      <w:tr>
        <w:trPr>
          <w:trHeight w:val="2202" w:hRule="atLeast"/>
          <w:cantSplit w:val="true"/>
        </w:trPr>
        <w:tc>
          <w:tcPr>
            <w:tcW w:w="1184" w:type="dxa"/>
            <w:tcBorders>
              <w:top w:val="nil"/>
            </w:tcBorders>
            <w:vAlign w:val="center"/>
          </w:tcPr>
          <w:p>
            <w:pPr>
              <w:pStyle w:val="Normal"/>
              <w:widowControl/>
              <w:suppressAutoHyphens w:val="true"/>
              <w:spacing w:before="0" w:after="0"/>
              <w:jc w:val="center"/>
              <w:rPr>
                <w:color w:val="auto"/>
                <w:sz w:val="22"/>
              </w:rPr>
            </w:pPr>
            <w:r>
              <w:rPr>
                <w:rFonts w:eastAsia="Times New Roman" w:cs="Arial" w:ascii="Arial" w:hAnsi="Arial"/>
                <w:color w:val="000000"/>
                <w:kern w:val="0"/>
                <w:sz w:val="20"/>
                <w:szCs w:val="20"/>
                <w:shd w:fill="auto" w:val="clear"/>
                <w:lang w:val="lt-LT" w:eastAsia="en-US" w:bidi="ar-SA"/>
              </w:rPr>
              <w:t>DG-03</w:t>
            </w:r>
          </w:p>
        </w:tc>
        <w:tc>
          <w:tcPr>
            <w:tcW w:w="3386" w:type="dxa"/>
            <w:tcBorders>
              <w:top w:val="nil"/>
            </w:tcBorders>
            <w:vAlign w:val="center"/>
          </w:tcPr>
          <w:p>
            <w:pPr>
              <w:pStyle w:val="Normal"/>
              <w:widowControl/>
              <w:suppressAutoHyphens w:val="true"/>
              <w:spacing w:before="0" w:after="0"/>
              <w:jc w:val="center"/>
              <w:rPr>
                <w:rFonts w:ascii="Arial" w:hAnsi="Arial" w:eastAsia="Times New Roman" w:cs="Arial"/>
                <w:color w:val="auto"/>
                <w:kern w:val="0"/>
                <w:sz w:val="20"/>
                <w:szCs w:val="20"/>
                <w:highlight w:val="none"/>
                <w:shd w:fill="auto" w:val="clear"/>
                <w:lang w:val="lt-LT" w:eastAsia="en-US" w:bidi="ar-SA"/>
              </w:rPr>
            </w:pPr>
            <w:r>
              <w:rPr/>
              <w:drawing>
                <wp:inline distT="0" distB="0" distL="0" distR="0">
                  <wp:extent cx="1965325" cy="1591310"/>
                  <wp:effectExtent l="0" t="0" r="0" b="0"/>
                  <wp:docPr id="18" name="Image2 Copy 4 Copy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2 Copy 4 Copy 4"/>
                          <pic:cNvPicPr>
                            <a:picLocks noChangeAspect="1" noChangeArrowheads="1"/>
                          </pic:cNvPicPr>
                        </pic:nvPicPr>
                        <pic:blipFill>
                          <a:blip r:embed="rId18"/>
                          <a:srcRect l="-602" t="-744" r="-602" b="-744"/>
                          <a:stretch>
                            <a:fillRect/>
                          </a:stretch>
                        </pic:blipFill>
                        <pic:spPr bwMode="auto">
                          <a:xfrm>
                            <a:off x="0" y="0"/>
                            <a:ext cx="1965325" cy="1591310"/>
                          </a:xfrm>
                          <a:prstGeom prst="rect">
                            <a:avLst/>
                          </a:prstGeom>
                          <a:noFill/>
                        </pic:spPr>
                      </pic:pic>
                    </a:graphicData>
                  </a:graphic>
                </wp:inline>
              </w:drawing>
            </w:r>
          </w:p>
        </w:tc>
        <w:tc>
          <w:tcPr>
            <w:tcW w:w="5632" w:type="dxa"/>
            <w:tcBorders>
              <w:top w:val="nil"/>
            </w:tcBorders>
          </w:tcPr>
          <w:p>
            <w:pPr>
              <w:pStyle w:val="Normal"/>
              <w:widowControl/>
              <w:suppressAutoHyphens w:val="true"/>
              <w:spacing w:before="0" w:after="0"/>
              <w:jc w:val="left"/>
              <w:rPr>
                <w:color w:val="auto"/>
                <w:sz w:val="22"/>
              </w:rPr>
            </w:pPr>
            <w:r>
              <w:rPr>
                <w:rFonts w:eastAsia="Times New Roman" w:cs="Arial" w:ascii="Arial" w:hAnsi="Arial"/>
                <w:b/>
                <w:color w:val="000000"/>
                <w:kern w:val="0"/>
                <w:sz w:val="20"/>
                <w:szCs w:val="22"/>
                <w:shd w:fill="auto" w:val="clear"/>
                <w:lang w:val="lt-LT" w:eastAsia="en-US" w:bidi="ar-SA"/>
              </w:rPr>
              <w:t>Natūralaus akmens danga</w:t>
            </w:r>
          </w:p>
          <w:p>
            <w:pPr>
              <w:pStyle w:val="Normal"/>
              <w:widowControl/>
              <w:suppressAutoHyphens w:val="true"/>
              <w:spacing w:before="0" w:after="0"/>
              <w:jc w:val="left"/>
              <w:rPr>
                <w:color w:val="auto"/>
                <w:sz w:val="22"/>
              </w:rPr>
            </w:pPr>
            <w:r>
              <w:rPr>
                <w:rFonts w:eastAsia="Times New Roman" w:cs="Arial" w:ascii="Arial" w:hAnsi="Arial"/>
                <w:b/>
                <w:color w:val="000000"/>
                <w:kern w:val="0"/>
                <w:sz w:val="20"/>
                <w:szCs w:val="20"/>
                <w:shd w:fill="auto" w:val="clear"/>
                <w:lang w:val="lt-LT" w:eastAsia="en-US" w:bidi="ar-SA"/>
              </w:rPr>
              <w:t>Matmenys</w:t>
            </w:r>
            <w:r>
              <w:rPr>
                <w:rFonts w:eastAsia="Times New Roman" w:cs="Arial" w:ascii="Arial" w:hAnsi="Arial"/>
                <w:color w:val="000000"/>
                <w:kern w:val="0"/>
                <w:sz w:val="20"/>
                <w:szCs w:val="20"/>
                <w:shd w:fill="auto" w:val="clear"/>
                <w:lang w:val="lt-LT" w:eastAsia="en-US" w:bidi="ar-SA"/>
              </w:rPr>
              <w:t>: 500x500 mm., d- 60 mm.</w:t>
            </w:r>
          </w:p>
          <w:p>
            <w:pPr>
              <w:pStyle w:val="Normal"/>
              <w:widowControl/>
              <w:suppressAutoHyphens w:val="true"/>
              <w:spacing w:before="0" w:after="0"/>
              <w:jc w:val="left"/>
              <w:rPr>
                <w:color w:val="auto"/>
                <w:sz w:val="22"/>
              </w:rPr>
            </w:pPr>
            <w:r>
              <w:rPr>
                <w:rFonts w:eastAsia="Times New Roman" w:cs="Arial" w:ascii="Arial" w:hAnsi="Arial"/>
                <w:b/>
                <w:color w:val="000000"/>
                <w:kern w:val="0"/>
                <w:sz w:val="20"/>
                <w:szCs w:val="20"/>
                <w:shd w:fill="auto" w:val="clear"/>
                <w:lang w:val="lt-LT" w:eastAsia="en-US" w:bidi="ar-SA"/>
              </w:rPr>
              <w:t>Spalva</w:t>
            </w:r>
            <w:r>
              <w:rPr>
                <w:rFonts w:eastAsia="Times New Roman" w:cs="Arial" w:ascii="Arial" w:hAnsi="Arial"/>
                <w:color w:val="000000"/>
                <w:kern w:val="0"/>
                <w:sz w:val="20"/>
                <w:szCs w:val="20"/>
                <w:shd w:fill="auto" w:val="clear"/>
                <w:lang w:val="lt-LT" w:eastAsia="en-US" w:bidi="ar-SA"/>
              </w:rPr>
              <w:t>: Pilka;</w:t>
            </w:r>
          </w:p>
          <w:p>
            <w:pPr>
              <w:pStyle w:val="Normal"/>
              <w:widowControl/>
              <w:suppressAutoHyphens w:val="true"/>
              <w:spacing w:before="0" w:after="0"/>
              <w:jc w:val="left"/>
              <w:rPr>
                <w:color w:val="auto"/>
                <w:sz w:val="22"/>
              </w:rPr>
            </w:pPr>
            <w:r>
              <w:rPr>
                <w:rFonts w:eastAsia="Times New Roman" w:cs="Arial" w:ascii="Arial" w:hAnsi="Arial"/>
                <w:b/>
                <w:color w:val="000000"/>
                <w:kern w:val="0"/>
                <w:sz w:val="20"/>
                <w:szCs w:val="20"/>
                <w:shd w:fill="auto" w:val="clear"/>
                <w:lang w:val="lt-LT" w:eastAsia="en-US" w:bidi="ar-SA"/>
              </w:rPr>
              <w:t>Aprašas</w:t>
            </w:r>
            <w:r>
              <w:rPr>
                <w:rFonts w:eastAsia="Times New Roman" w:cs="Arial" w:ascii="Arial" w:hAnsi="Arial"/>
                <w:color w:val="000000"/>
                <w:kern w:val="0"/>
                <w:sz w:val="20"/>
                <w:szCs w:val="20"/>
                <w:shd w:fill="auto" w:val="clear"/>
                <w:lang w:val="lt-LT" w:eastAsia="en-US" w:bidi="ar-SA"/>
              </w:rPr>
              <w:t>: Aprašą žr. 3.7.  Natūralaus akmens fiziniai ir techniniai parametrai</w:t>
            </w:r>
          </w:p>
        </w:tc>
      </w:tr>
      <w:tr>
        <w:trPr>
          <w:trHeight w:val="2268" w:hRule="atLeast"/>
          <w:cantSplit w:val="true"/>
        </w:trPr>
        <w:tc>
          <w:tcPr>
            <w:tcW w:w="1184" w:type="dxa"/>
            <w:tcBorders>
              <w:top w:val="nil"/>
            </w:tcBorders>
            <w:vAlign w:val="center"/>
          </w:tcPr>
          <w:p>
            <w:pPr>
              <w:pStyle w:val="Normal"/>
              <w:widowControl/>
              <w:suppressAutoHyphens w:val="true"/>
              <w:spacing w:before="0" w:after="0"/>
              <w:jc w:val="center"/>
              <w:rPr>
                <w:color w:val="auto"/>
                <w:sz w:val="22"/>
              </w:rPr>
            </w:pPr>
            <w:r>
              <w:rPr>
                <w:rFonts w:eastAsia="Times New Roman" w:cs="Arial" w:ascii="Arial" w:hAnsi="Arial"/>
                <w:color w:val="000000"/>
                <w:kern w:val="0"/>
                <w:sz w:val="20"/>
                <w:szCs w:val="20"/>
                <w:shd w:fill="auto" w:val="clear"/>
                <w:lang w:val="lt-LT" w:eastAsia="en-US" w:bidi="ar-SA"/>
              </w:rPr>
              <w:t>DG-04</w:t>
            </w:r>
          </w:p>
        </w:tc>
        <w:tc>
          <w:tcPr>
            <w:tcW w:w="3386" w:type="dxa"/>
            <w:tcBorders>
              <w:top w:val="nil"/>
            </w:tcBorders>
            <w:vAlign w:val="center"/>
          </w:tcPr>
          <w:p>
            <w:pPr>
              <w:pStyle w:val="Normal"/>
              <w:widowControl/>
              <w:suppressAutoHyphens w:val="true"/>
              <w:spacing w:before="0" w:after="0"/>
              <w:jc w:val="center"/>
              <w:rPr>
                <w:rFonts w:ascii="Arial" w:hAnsi="Arial" w:eastAsia="Times New Roman" w:cs="Arial"/>
                <w:color w:val="auto"/>
                <w:kern w:val="0"/>
                <w:sz w:val="20"/>
                <w:szCs w:val="20"/>
                <w:highlight w:val="none"/>
                <w:shd w:fill="auto" w:val="clear"/>
                <w:lang w:val="lt-LT" w:eastAsia="en-US" w:bidi="ar-SA"/>
              </w:rPr>
            </w:pPr>
            <w:r>
              <w:rPr/>
              <w:drawing>
                <wp:inline distT="0" distB="0" distL="0" distR="0">
                  <wp:extent cx="1942465" cy="1572260"/>
                  <wp:effectExtent l="0" t="0" r="0" b="0"/>
                  <wp:docPr id="19" name="Image2 Copy 4 Copy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2 Copy 4 Copy 3"/>
                          <pic:cNvPicPr>
                            <a:picLocks noChangeAspect="1" noChangeArrowheads="1"/>
                          </pic:cNvPicPr>
                        </pic:nvPicPr>
                        <pic:blipFill>
                          <a:blip r:embed="rId19"/>
                          <a:srcRect l="-602" t="-744" r="-602" b="-744"/>
                          <a:stretch>
                            <a:fillRect/>
                          </a:stretch>
                        </pic:blipFill>
                        <pic:spPr bwMode="auto">
                          <a:xfrm>
                            <a:off x="0" y="0"/>
                            <a:ext cx="1942465" cy="1572260"/>
                          </a:xfrm>
                          <a:prstGeom prst="rect">
                            <a:avLst/>
                          </a:prstGeom>
                          <a:noFill/>
                        </pic:spPr>
                      </pic:pic>
                    </a:graphicData>
                  </a:graphic>
                </wp:inline>
              </w:drawing>
            </w:r>
          </w:p>
        </w:tc>
        <w:tc>
          <w:tcPr>
            <w:tcW w:w="5632" w:type="dxa"/>
            <w:tcBorders>
              <w:top w:val="nil"/>
            </w:tcBorders>
          </w:tcPr>
          <w:p>
            <w:pPr>
              <w:pStyle w:val="Normal"/>
              <w:widowControl/>
              <w:suppressAutoHyphens w:val="true"/>
              <w:spacing w:before="0" w:after="0"/>
              <w:jc w:val="left"/>
              <w:rPr>
                <w:color w:val="auto"/>
                <w:sz w:val="22"/>
              </w:rPr>
            </w:pPr>
            <w:r>
              <w:rPr>
                <w:rFonts w:eastAsia="Times New Roman" w:cs="Arial" w:ascii="Arial" w:hAnsi="Arial"/>
                <w:b/>
                <w:color w:val="000000"/>
                <w:kern w:val="0"/>
                <w:sz w:val="20"/>
                <w:szCs w:val="22"/>
                <w:shd w:fill="auto" w:val="clear"/>
                <w:lang w:val="lt-LT" w:eastAsia="en-US" w:bidi="ar-SA"/>
              </w:rPr>
              <w:t>Natūralaus akmens danga</w:t>
            </w:r>
          </w:p>
          <w:p>
            <w:pPr>
              <w:pStyle w:val="Normal"/>
              <w:widowControl/>
              <w:suppressAutoHyphens w:val="true"/>
              <w:spacing w:before="0" w:after="0"/>
              <w:jc w:val="left"/>
              <w:rPr>
                <w:color w:val="auto"/>
                <w:sz w:val="22"/>
              </w:rPr>
            </w:pPr>
            <w:r>
              <w:rPr>
                <w:rFonts w:eastAsia="Times New Roman" w:cs="Arial" w:ascii="Arial" w:hAnsi="Arial"/>
                <w:b/>
                <w:color w:val="000000"/>
                <w:kern w:val="0"/>
                <w:sz w:val="20"/>
                <w:szCs w:val="20"/>
                <w:shd w:fill="auto" w:val="clear"/>
                <w:lang w:val="lt-LT" w:eastAsia="en-US" w:bidi="ar-SA"/>
              </w:rPr>
              <w:t>Matmenys</w:t>
            </w:r>
            <w:r>
              <w:rPr>
                <w:rFonts w:eastAsia="Times New Roman" w:cs="Arial" w:ascii="Arial" w:hAnsi="Arial"/>
                <w:color w:val="000000"/>
                <w:kern w:val="0"/>
                <w:sz w:val="20"/>
                <w:szCs w:val="20"/>
                <w:shd w:fill="auto" w:val="clear"/>
                <w:lang w:val="lt-LT" w:eastAsia="en-US" w:bidi="ar-SA"/>
              </w:rPr>
              <w:t>: 500x500 mm., d- 50 mm.</w:t>
            </w:r>
          </w:p>
          <w:p>
            <w:pPr>
              <w:pStyle w:val="Normal"/>
              <w:widowControl/>
              <w:suppressAutoHyphens w:val="true"/>
              <w:spacing w:before="0" w:after="0"/>
              <w:jc w:val="left"/>
              <w:rPr>
                <w:color w:val="auto"/>
                <w:sz w:val="22"/>
              </w:rPr>
            </w:pPr>
            <w:r>
              <w:rPr>
                <w:rFonts w:eastAsia="Times New Roman" w:cs="Arial" w:ascii="Arial" w:hAnsi="Arial"/>
                <w:b/>
                <w:color w:val="000000"/>
                <w:kern w:val="0"/>
                <w:sz w:val="20"/>
                <w:szCs w:val="20"/>
                <w:shd w:fill="auto" w:val="clear"/>
                <w:lang w:val="lt-LT" w:eastAsia="en-US" w:bidi="ar-SA"/>
              </w:rPr>
              <w:t>Spalva</w:t>
            </w:r>
            <w:r>
              <w:rPr>
                <w:rFonts w:eastAsia="Times New Roman" w:cs="Arial" w:ascii="Arial" w:hAnsi="Arial"/>
                <w:color w:val="000000"/>
                <w:kern w:val="0"/>
                <w:sz w:val="20"/>
                <w:szCs w:val="20"/>
                <w:shd w:fill="auto" w:val="clear"/>
                <w:lang w:val="lt-LT" w:eastAsia="en-US" w:bidi="ar-SA"/>
              </w:rPr>
              <w:t>: Pilka;</w:t>
            </w:r>
          </w:p>
          <w:p>
            <w:pPr>
              <w:pStyle w:val="Normal"/>
              <w:widowControl/>
              <w:suppressAutoHyphens w:val="true"/>
              <w:spacing w:before="0" w:after="0"/>
              <w:jc w:val="left"/>
              <w:rPr>
                <w:color w:val="auto"/>
                <w:sz w:val="22"/>
              </w:rPr>
            </w:pPr>
            <w:r>
              <w:rPr>
                <w:rFonts w:eastAsia="Times New Roman" w:cs="Arial" w:ascii="Arial" w:hAnsi="Arial"/>
                <w:b/>
                <w:color w:val="000000"/>
                <w:kern w:val="0"/>
                <w:sz w:val="20"/>
                <w:szCs w:val="20"/>
                <w:shd w:fill="auto" w:val="clear"/>
                <w:lang w:val="lt-LT" w:eastAsia="en-US" w:bidi="ar-SA"/>
              </w:rPr>
              <w:t>Aprašas</w:t>
            </w:r>
            <w:r>
              <w:rPr>
                <w:rFonts w:eastAsia="Times New Roman" w:cs="Arial" w:ascii="Arial" w:hAnsi="Arial"/>
                <w:color w:val="000000"/>
                <w:kern w:val="0"/>
                <w:sz w:val="20"/>
                <w:szCs w:val="20"/>
                <w:shd w:fill="auto" w:val="clear"/>
                <w:lang w:val="lt-LT" w:eastAsia="en-US" w:bidi="ar-SA"/>
              </w:rPr>
              <w:t xml:space="preserve">: </w:t>
            </w:r>
            <w:r>
              <w:rPr>
                <w:rFonts w:eastAsia="Times New Roman" w:cs="Arial" w:ascii="Arial" w:hAnsi="Arial"/>
                <w:b w:val="false"/>
                <w:bCs w:val="false"/>
                <w:color w:val="000000"/>
                <w:kern w:val="0"/>
                <w:sz w:val="20"/>
                <w:szCs w:val="20"/>
                <w:shd w:fill="auto" w:val="clear"/>
                <w:lang w:val="lt-LT" w:eastAsia="en-US" w:bidi="ar-SA"/>
              </w:rPr>
              <w:t>Aprašą žr. 3.7.  Natūralaus akmens fiziniai ir techniniai parametrai</w:t>
            </w:r>
          </w:p>
        </w:tc>
      </w:tr>
      <w:tr>
        <w:trPr>
          <w:trHeight w:val="2268" w:hRule="atLeast"/>
          <w:cantSplit w:val="true"/>
        </w:trPr>
        <w:tc>
          <w:tcPr>
            <w:tcW w:w="1184" w:type="dxa"/>
            <w:tcBorders>
              <w:top w:val="nil"/>
            </w:tcBorders>
            <w:vAlign w:val="center"/>
          </w:tcPr>
          <w:p>
            <w:pPr>
              <w:pStyle w:val="Normal"/>
              <w:suppressAutoHyphens w:val="true"/>
              <w:spacing w:before="0" w:after="0"/>
              <w:jc w:val="center"/>
              <w:rPr>
                <w:color w:val="auto"/>
                <w:sz w:val="22"/>
              </w:rPr>
            </w:pPr>
            <w:r>
              <w:rPr>
                <w:rFonts w:cs="Arial" w:ascii="Arial" w:hAnsi="Arial"/>
                <w:color w:val="000000"/>
                <w:sz w:val="20"/>
                <w:szCs w:val="20"/>
                <w:shd w:fill="auto" w:val="clear"/>
              </w:rPr>
              <w:t>DG-05.1</w:t>
            </w:r>
          </w:p>
        </w:tc>
        <w:tc>
          <w:tcPr>
            <w:tcW w:w="3386" w:type="dxa"/>
            <w:tcBorders>
              <w:top w:val="nil"/>
            </w:tcBorders>
            <w:vAlign w:val="center"/>
          </w:tcPr>
          <w:p>
            <w:pPr>
              <w:pStyle w:val="Normal"/>
              <w:widowControl/>
              <w:suppressAutoHyphens w:val="true"/>
              <w:spacing w:before="0" w:after="0"/>
              <w:jc w:val="center"/>
              <w:rPr>
                <w:rFonts w:ascii="Arial" w:hAnsi="Arial" w:eastAsia="Times New Roman" w:cs="Arial"/>
                <w:color w:val="auto"/>
                <w:kern w:val="0"/>
                <w:sz w:val="20"/>
                <w:szCs w:val="20"/>
                <w:highlight w:val="none"/>
                <w:shd w:fill="auto" w:val="clear"/>
                <w:lang w:val="lt-LT" w:eastAsia="en-US" w:bidi="ar-SA"/>
              </w:rPr>
            </w:pPr>
            <w:r>
              <w:rPr/>
              <w:drawing>
                <wp:inline distT="0" distB="0" distL="0" distR="0">
                  <wp:extent cx="1934845" cy="1566545"/>
                  <wp:effectExtent l="0" t="0" r="0" b="0"/>
                  <wp:docPr id="20" name="Image2 Copy 4 Copy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2 Copy 4 Copy 2"/>
                          <pic:cNvPicPr>
                            <a:picLocks noChangeAspect="1" noChangeArrowheads="1"/>
                          </pic:cNvPicPr>
                        </pic:nvPicPr>
                        <pic:blipFill>
                          <a:blip r:embed="rId20"/>
                          <a:srcRect l="-602" t="-744" r="-602" b="-744"/>
                          <a:stretch>
                            <a:fillRect/>
                          </a:stretch>
                        </pic:blipFill>
                        <pic:spPr bwMode="auto">
                          <a:xfrm>
                            <a:off x="0" y="0"/>
                            <a:ext cx="1934845" cy="1566545"/>
                          </a:xfrm>
                          <a:prstGeom prst="rect">
                            <a:avLst/>
                          </a:prstGeom>
                          <a:noFill/>
                        </pic:spPr>
                      </pic:pic>
                    </a:graphicData>
                  </a:graphic>
                </wp:inline>
              </w:drawing>
            </w:r>
          </w:p>
        </w:tc>
        <w:tc>
          <w:tcPr>
            <w:tcW w:w="5632" w:type="dxa"/>
            <w:tcBorders>
              <w:top w:val="nil"/>
            </w:tcBorders>
          </w:tcPr>
          <w:p>
            <w:pPr>
              <w:pStyle w:val="Normal"/>
              <w:widowControl/>
              <w:suppressAutoHyphens w:val="true"/>
              <w:spacing w:before="0" w:after="0"/>
              <w:jc w:val="left"/>
              <w:rPr>
                <w:color w:val="auto"/>
                <w:sz w:val="22"/>
              </w:rPr>
            </w:pPr>
            <w:r>
              <w:rPr>
                <w:rFonts w:eastAsia="Times New Roman" w:cs="Arial" w:ascii="Arial" w:hAnsi="Arial"/>
                <w:b/>
                <w:color w:val="000000"/>
                <w:kern w:val="0"/>
                <w:sz w:val="20"/>
                <w:szCs w:val="22"/>
                <w:shd w:fill="auto" w:val="clear"/>
                <w:lang w:val="lt-LT" w:eastAsia="en-US" w:bidi="ar-SA"/>
              </w:rPr>
              <w:t>Natūralaus akmens danga</w:t>
            </w:r>
          </w:p>
          <w:p>
            <w:pPr>
              <w:pStyle w:val="Normal"/>
              <w:widowControl/>
              <w:suppressAutoHyphens w:val="true"/>
              <w:spacing w:before="0" w:after="0"/>
              <w:jc w:val="left"/>
              <w:rPr>
                <w:color w:val="auto"/>
                <w:sz w:val="22"/>
              </w:rPr>
            </w:pPr>
            <w:r>
              <w:rPr>
                <w:rFonts w:eastAsia="Times New Roman" w:cs="Arial" w:ascii="Arial" w:hAnsi="Arial"/>
                <w:b/>
                <w:color w:val="000000"/>
                <w:kern w:val="0"/>
                <w:sz w:val="20"/>
                <w:szCs w:val="20"/>
                <w:shd w:fill="auto" w:val="clear"/>
                <w:lang w:val="lt-LT" w:eastAsia="en-US" w:bidi="ar-SA"/>
              </w:rPr>
              <w:t>Matmenys</w:t>
            </w:r>
            <w:r>
              <w:rPr>
                <w:rFonts w:eastAsia="Times New Roman" w:cs="Arial" w:ascii="Arial" w:hAnsi="Arial"/>
                <w:color w:val="000000"/>
                <w:kern w:val="0"/>
                <w:sz w:val="20"/>
                <w:szCs w:val="20"/>
                <w:shd w:fill="auto" w:val="clear"/>
                <w:lang w:val="lt-LT" w:eastAsia="en-US" w:bidi="ar-SA"/>
              </w:rPr>
              <w:t>: 500x300 mm., d- 130 mm.</w:t>
            </w:r>
          </w:p>
          <w:p>
            <w:pPr>
              <w:pStyle w:val="Normal"/>
              <w:widowControl/>
              <w:suppressAutoHyphens w:val="true"/>
              <w:spacing w:before="0" w:after="0"/>
              <w:jc w:val="left"/>
              <w:rPr>
                <w:color w:val="auto"/>
                <w:sz w:val="22"/>
              </w:rPr>
            </w:pPr>
            <w:r>
              <w:rPr>
                <w:rFonts w:eastAsia="Times New Roman" w:cs="Arial" w:ascii="Arial" w:hAnsi="Arial"/>
                <w:b/>
                <w:color w:val="000000"/>
                <w:kern w:val="0"/>
                <w:sz w:val="20"/>
                <w:szCs w:val="20"/>
                <w:shd w:fill="auto" w:val="clear"/>
                <w:lang w:val="lt-LT" w:eastAsia="en-US" w:bidi="ar-SA"/>
              </w:rPr>
              <w:t>Spalva</w:t>
            </w:r>
            <w:r>
              <w:rPr>
                <w:rFonts w:eastAsia="Times New Roman" w:cs="Arial" w:ascii="Arial" w:hAnsi="Arial"/>
                <w:color w:val="000000"/>
                <w:kern w:val="0"/>
                <w:sz w:val="20"/>
                <w:szCs w:val="20"/>
                <w:shd w:fill="auto" w:val="clear"/>
                <w:lang w:val="lt-LT" w:eastAsia="en-US" w:bidi="ar-SA"/>
              </w:rPr>
              <w:t>: Pilka;</w:t>
            </w:r>
          </w:p>
          <w:p>
            <w:pPr>
              <w:pStyle w:val="Normal"/>
              <w:widowControl/>
              <w:suppressAutoHyphens w:val="true"/>
              <w:spacing w:before="0" w:after="0"/>
              <w:jc w:val="left"/>
              <w:rPr>
                <w:color w:val="auto"/>
                <w:sz w:val="22"/>
              </w:rPr>
            </w:pPr>
            <w:r>
              <w:rPr>
                <w:rFonts w:eastAsia="Times New Roman" w:cs="Arial" w:ascii="Arial" w:hAnsi="Arial"/>
                <w:b/>
                <w:color w:val="000000"/>
                <w:kern w:val="0"/>
                <w:sz w:val="20"/>
                <w:szCs w:val="20"/>
                <w:shd w:fill="auto" w:val="clear"/>
                <w:lang w:val="lt-LT" w:eastAsia="en-US" w:bidi="ar-SA"/>
              </w:rPr>
              <w:t>Aprašas</w:t>
            </w:r>
            <w:r>
              <w:rPr>
                <w:rFonts w:eastAsia="Times New Roman" w:cs="Arial" w:ascii="Arial" w:hAnsi="Arial"/>
                <w:color w:val="000000"/>
                <w:kern w:val="0"/>
                <w:sz w:val="20"/>
                <w:szCs w:val="20"/>
                <w:shd w:fill="auto" w:val="clear"/>
                <w:lang w:val="lt-LT" w:eastAsia="en-US" w:bidi="ar-SA"/>
              </w:rPr>
              <w:t xml:space="preserve">: </w:t>
            </w:r>
            <w:r>
              <w:rPr>
                <w:rFonts w:eastAsia="Times New Roman" w:cs="Arial" w:ascii="Arial" w:hAnsi="Arial"/>
                <w:b w:val="false"/>
                <w:bCs w:val="false"/>
                <w:color w:val="000000"/>
                <w:kern w:val="0"/>
                <w:sz w:val="20"/>
                <w:szCs w:val="20"/>
                <w:shd w:fill="auto" w:val="clear"/>
                <w:lang w:val="lt-LT" w:eastAsia="en-US" w:bidi="ar-SA"/>
              </w:rPr>
              <w:t>Aprašą žr. 3.7.  Natūralaus akmens fiziniai ir techniniai parametrai</w:t>
            </w:r>
          </w:p>
        </w:tc>
      </w:tr>
      <w:tr>
        <w:trPr>
          <w:trHeight w:val="2268" w:hRule="atLeast"/>
          <w:cantSplit w:val="true"/>
        </w:trPr>
        <w:tc>
          <w:tcPr>
            <w:tcW w:w="1184" w:type="dxa"/>
            <w:tcBorders>
              <w:top w:val="nil"/>
            </w:tcBorders>
            <w:vAlign w:val="center"/>
          </w:tcPr>
          <w:p>
            <w:pPr>
              <w:pStyle w:val="Normal"/>
              <w:suppressAutoHyphens w:val="true"/>
              <w:spacing w:before="0" w:after="0"/>
              <w:jc w:val="center"/>
              <w:rPr>
                <w:color w:val="auto"/>
                <w:sz w:val="22"/>
              </w:rPr>
            </w:pPr>
            <w:r>
              <w:rPr>
                <w:rFonts w:cs="Arial" w:ascii="Arial" w:hAnsi="Arial"/>
                <w:color w:val="000000"/>
                <w:sz w:val="20"/>
                <w:szCs w:val="20"/>
                <w:shd w:fill="auto" w:val="clear"/>
              </w:rPr>
              <w:t>DG-05.2</w:t>
            </w:r>
          </w:p>
        </w:tc>
        <w:tc>
          <w:tcPr>
            <w:tcW w:w="3386" w:type="dxa"/>
            <w:tcBorders>
              <w:top w:val="nil"/>
            </w:tcBorders>
            <w:vAlign w:val="center"/>
          </w:tcPr>
          <w:p>
            <w:pPr>
              <w:pStyle w:val="Normal"/>
              <w:widowControl/>
              <w:suppressAutoHyphens w:val="true"/>
              <w:spacing w:before="0" w:after="0"/>
              <w:jc w:val="center"/>
              <w:rPr>
                <w:rFonts w:ascii="Arial" w:hAnsi="Arial" w:eastAsia="Times New Roman" w:cs="Arial"/>
                <w:color w:val="auto"/>
                <w:kern w:val="0"/>
                <w:sz w:val="20"/>
                <w:szCs w:val="20"/>
                <w:highlight w:val="none"/>
                <w:shd w:fill="auto" w:val="clear"/>
                <w:lang w:val="lt-LT" w:eastAsia="en-US" w:bidi="ar-SA"/>
              </w:rPr>
            </w:pPr>
            <w:r>
              <w:rPr/>
              <w:drawing>
                <wp:inline distT="0" distB="0" distL="0" distR="0">
                  <wp:extent cx="1896745" cy="1535430"/>
                  <wp:effectExtent l="0" t="0" r="0" b="0"/>
                  <wp:docPr id="21" name="Image2 Copy 4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2 Copy 4 Copy 1"/>
                          <pic:cNvPicPr>
                            <a:picLocks noChangeAspect="1" noChangeArrowheads="1"/>
                          </pic:cNvPicPr>
                        </pic:nvPicPr>
                        <pic:blipFill>
                          <a:blip r:embed="rId21"/>
                          <a:srcRect l="-602" t="-744" r="-602" b="-744"/>
                          <a:stretch>
                            <a:fillRect/>
                          </a:stretch>
                        </pic:blipFill>
                        <pic:spPr bwMode="auto">
                          <a:xfrm>
                            <a:off x="0" y="0"/>
                            <a:ext cx="1896745" cy="1535430"/>
                          </a:xfrm>
                          <a:prstGeom prst="rect">
                            <a:avLst/>
                          </a:prstGeom>
                          <a:noFill/>
                        </pic:spPr>
                      </pic:pic>
                    </a:graphicData>
                  </a:graphic>
                </wp:inline>
              </w:drawing>
            </w:r>
          </w:p>
        </w:tc>
        <w:tc>
          <w:tcPr>
            <w:tcW w:w="5632" w:type="dxa"/>
            <w:tcBorders>
              <w:top w:val="nil"/>
            </w:tcBorders>
          </w:tcPr>
          <w:p>
            <w:pPr>
              <w:pStyle w:val="Normal"/>
              <w:widowControl/>
              <w:suppressAutoHyphens w:val="true"/>
              <w:spacing w:before="0" w:after="0"/>
              <w:jc w:val="left"/>
              <w:rPr>
                <w:color w:val="auto"/>
                <w:sz w:val="22"/>
              </w:rPr>
            </w:pPr>
            <w:r>
              <w:rPr>
                <w:rFonts w:eastAsia="Times New Roman" w:cs="Arial" w:ascii="Arial" w:hAnsi="Arial"/>
                <w:b/>
                <w:color w:val="000000"/>
                <w:kern w:val="0"/>
                <w:sz w:val="20"/>
                <w:szCs w:val="22"/>
                <w:shd w:fill="auto" w:val="clear"/>
                <w:lang w:val="lt-LT" w:eastAsia="en-US" w:bidi="ar-SA"/>
              </w:rPr>
              <w:t>Natūralaus akmens danga</w:t>
            </w:r>
          </w:p>
          <w:p>
            <w:pPr>
              <w:pStyle w:val="Normal"/>
              <w:widowControl/>
              <w:suppressAutoHyphens w:val="true"/>
              <w:spacing w:before="0" w:after="0"/>
              <w:jc w:val="left"/>
              <w:rPr>
                <w:color w:val="auto"/>
                <w:sz w:val="22"/>
              </w:rPr>
            </w:pPr>
            <w:r>
              <w:rPr>
                <w:rFonts w:eastAsia="Times New Roman" w:cs="Arial" w:ascii="Arial" w:hAnsi="Arial"/>
                <w:b/>
                <w:color w:val="000000"/>
                <w:kern w:val="0"/>
                <w:sz w:val="20"/>
                <w:szCs w:val="20"/>
                <w:shd w:fill="auto" w:val="clear"/>
                <w:lang w:val="lt-LT" w:eastAsia="en-US" w:bidi="ar-SA"/>
              </w:rPr>
              <w:t>Matmenys</w:t>
            </w:r>
            <w:r>
              <w:rPr>
                <w:rFonts w:eastAsia="Times New Roman" w:cs="Arial" w:ascii="Arial" w:hAnsi="Arial"/>
                <w:color w:val="000000"/>
                <w:kern w:val="0"/>
                <w:sz w:val="20"/>
                <w:szCs w:val="20"/>
                <w:shd w:fill="auto" w:val="clear"/>
                <w:lang w:val="lt-LT" w:eastAsia="en-US" w:bidi="ar-SA"/>
              </w:rPr>
              <w:t>: 500x260 mm., d- 60 mm.</w:t>
            </w:r>
          </w:p>
          <w:p>
            <w:pPr>
              <w:pStyle w:val="Normal"/>
              <w:widowControl/>
              <w:suppressAutoHyphens w:val="true"/>
              <w:spacing w:before="0" w:after="0"/>
              <w:jc w:val="left"/>
              <w:rPr>
                <w:color w:val="auto"/>
                <w:sz w:val="22"/>
              </w:rPr>
            </w:pPr>
            <w:r>
              <w:rPr>
                <w:rFonts w:eastAsia="Times New Roman" w:cs="Arial" w:ascii="Arial" w:hAnsi="Arial"/>
                <w:b/>
                <w:color w:val="000000"/>
                <w:kern w:val="0"/>
                <w:sz w:val="20"/>
                <w:szCs w:val="20"/>
                <w:shd w:fill="auto" w:val="clear"/>
                <w:lang w:val="lt-LT" w:eastAsia="en-US" w:bidi="ar-SA"/>
              </w:rPr>
              <w:t>Spalva</w:t>
            </w:r>
            <w:r>
              <w:rPr>
                <w:rFonts w:eastAsia="Times New Roman" w:cs="Arial" w:ascii="Arial" w:hAnsi="Arial"/>
                <w:color w:val="000000"/>
                <w:kern w:val="0"/>
                <w:sz w:val="20"/>
                <w:szCs w:val="20"/>
                <w:shd w:fill="auto" w:val="clear"/>
                <w:lang w:val="lt-LT" w:eastAsia="en-US" w:bidi="ar-SA"/>
              </w:rPr>
              <w:t>: Pilka;</w:t>
            </w:r>
          </w:p>
          <w:p>
            <w:pPr>
              <w:pStyle w:val="Normal"/>
              <w:widowControl/>
              <w:suppressAutoHyphens w:val="true"/>
              <w:spacing w:before="0" w:after="0"/>
              <w:jc w:val="left"/>
              <w:rPr>
                <w:color w:val="auto"/>
                <w:sz w:val="22"/>
              </w:rPr>
            </w:pPr>
            <w:r>
              <w:rPr>
                <w:rFonts w:eastAsia="Times New Roman" w:cs="Arial" w:ascii="Arial" w:hAnsi="Arial"/>
                <w:b/>
                <w:color w:val="000000"/>
                <w:kern w:val="0"/>
                <w:sz w:val="20"/>
                <w:szCs w:val="20"/>
                <w:shd w:fill="auto" w:val="clear"/>
                <w:lang w:val="lt-LT" w:eastAsia="en-US" w:bidi="ar-SA"/>
              </w:rPr>
              <w:t>Aprašas</w:t>
            </w:r>
            <w:r>
              <w:rPr>
                <w:rFonts w:eastAsia="Times New Roman" w:cs="Arial" w:ascii="Arial" w:hAnsi="Arial"/>
                <w:color w:val="000000"/>
                <w:kern w:val="0"/>
                <w:sz w:val="20"/>
                <w:szCs w:val="20"/>
                <w:shd w:fill="auto" w:val="clear"/>
                <w:lang w:val="lt-LT" w:eastAsia="en-US" w:bidi="ar-SA"/>
              </w:rPr>
              <w:t xml:space="preserve">: </w:t>
            </w:r>
            <w:r>
              <w:rPr>
                <w:rFonts w:eastAsia="Times New Roman" w:cs="Arial" w:ascii="Arial" w:hAnsi="Arial"/>
                <w:b w:val="false"/>
                <w:bCs w:val="false"/>
                <w:color w:val="000000"/>
                <w:kern w:val="0"/>
                <w:sz w:val="20"/>
                <w:szCs w:val="20"/>
                <w:shd w:fill="auto" w:val="clear"/>
                <w:lang w:val="lt-LT" w:eastAsia="en-US" w:bidi="ar-SA"/>
              </w:rPr>
              <w:t>Aprašą žr. 3.7.  Natūralaus akmens fiziniai ir techniniai parametrai</w:t>
            </w:r>
          </w:p>
        </w:tc>
      </w:tr>
      <w:tr>
        <w:trPr>
          <w:trHeight w:val="2268" w:hRule="atLeast"/>
          <w:cantSplit w:val="true"/>
        </w:trPr>
        <w:tc>
          <w:tcPr>
            <w:tcW w:w="1184" w:type="dxa"/>
            <w:tcBorders>
              <w:top w:val="nil"/>
            </w:tcBorders>
            <w:vAlign w:val="center"/>
          </w:tcPr>
          <w:p>
            <w:pPr>
              <w:pStyle w:val="Normal"/>
              <w:suppressAutoHyphens w:val="true"/>
              <w:spacing w:before="0" w:after="0"/>
              <w:jc w:val="center"/>
              <w:rPr>
                <w:color w:val="auto"/>
                <w:sz w:val="22"/>
              </w:rPr>
            </w:pPr>
            <w:r>
              <w:rPr>
                <w:rFonts w:cs="Arial" w:ascii="Arial" w:hAnsi="Arial"/>
                <w:color w:val="000000"/>
                <w:sz w:val="20"/>
                <w:szCs w:val="20"/>
                <w:shd w:fill="auto" w:val="clear"/>
              </w:rPr>
              <w:t>DG-05.</w:t>
            </w:r>
            <w:r>
              <w:rPr>
                <w:rFonts w:cs="Arial" w:ascii="Arial" w:hAnsi="Arial"/>
                <w:color w:val="000000"/>
                <w:sz w:val="20"/>
                <w:szCs w:val="20"/>
                <w:shd w:fill="auto" w:val="clear"/>
              </w:rPr>
              <w:t>3</w:t>
            </w:r>
          </w:p>
        </w:tc>
        <w:tc>
          <w:tcPr>
            <w:tcW w:w="3386" w:type="dxa"/>
            <w:tcBorders>
              <w:top w:val="nil"/>
            </w:tcBorders>
            <w:vAlign w:val="center"/>
          </w:tcPr>
          <w:p>
            <w:pPr>
              <w:pStyle w:val="Normal"/>
              <w:widowControl/>
              <w:suppressAutoHyphens w:val="true"/>
              <w:spacing w:before="0" w:after="0"/>
              <w:jc w:val="center"/>
              <w:rPr>
                <w:rFonts w:ascii="Arial" w:hAnsi="Arial" w:eastAsia="Times New Roman" w:cs="Arial"/>
                <w:color w:val="auto"/>
                <w:kern w:val="0"/>
                <w:sz w:val="20"/>
                <w:szCs w:val="20"/>
                <w:highlight w:val="none"/>
                <w:shd w:fill="auto" w:val="clear"/>
                <w:lang w:val="lt-LT" w:eastAsia="en-US" w:bidi="ar-SA"/>
              </w:rPr>
            </w:pPr>
            <w:r>
              <w:rPr>
                <w:rFonts w:eastAsia="Times New Roman" w:cs="Arial" w:ascii="Arial" w:hAnsi="Arial"/>
                <w:color w:val="auto"/>
                <w:kern w:val="0"/>
                <w:sz w:val="20"/>
                <w:szCs w:val="20"/>
                <w:shd w:fill="auto" w:val="clear"/>
                <w:lang w:val="lt-LT" w:eastAsia="en-US" w:bidi="ar-SA"/>
              </w:rPr>
              <w:drawing>
                <wp:inline distT="0" distB="0" distL="0" distR="0">
                  <wp:extent cx="1896745" cy="1535430"/>
                  <wp:effectExtent l="0" t="0" r="0" b="0"/>
                  <wp:docPr id="22" name="Image2 Copy 4 Copy 1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2 Copy 4 Copy 1 Copy 1"/>
                          <pic:cNvPicPr>
                            <a:picLocks noChangeAspect="1" noChangeArrowheads="1"/>
                          </pic:cNvPicPr>
                        </pic:nvPicPr>
                        <pic:blipFill>
                          <a:blip r:embed="rId22"/>
                          <a:srcRect l="-602" t="-744" r="-602" b="-744"/>
                          <a:stretch>
                            <a:fillRect/>
                          </a:stretch>
                        </pic:blipFill>
                        <pic:spPr bwMode="auto">
                          <a:xfrm>
                            <a:off x="0" y="0"/>
                            <a:ext cx="1896745" cy="1535430"/>
                          </a:xfrm>
                          <a:prstGeom prst="rect">
                            <a:avLst/>
                          </a:prstGeom>
                          <a:noFill/>
                        </pic:spPr>
                      </pic:pic>
                    </a:graphicData>
                  </a:graphic>
                </wp:inline>
              </w:drawing>
            </w:r>
          </w:p>
        </w:tc>
        <w:tc>
          <w:tcPr>
            <w:tcW w:w="5632" w:type="dxa"/>
            <w:tcBorders>
              <w:top w:val="nil"/>
            </w:tcBorders>
          </w:tcPr>
          <w:p>
            <w:pPr>
              <w:pStyle w:val="Normal"/>
              <w:widowControl/>
              <w:suppressAutoHyphens w:val="true"/>
              <w:spacing w:before="0" w:after="0"/>
              <w:jc w:val="left"/>
              <w:rPr>
                <w:color w:val="auto"/>
                <w:sz w:val="22"/>
              </w:rPr>
            </w:pPr>
            <w:r>
              <w:rPr>
                <w:rFonts w:eastAsia="Times New Roman" w:cs="Arial" w:ascii="Arial" w:hAnsi="Arial"/>
                <w:b/>
                <w:color w:val="000000"/>
                <w:kern w:val="0"/>
                <w:sz w:val="20"/>
                <w:szCs w:val="22"/>
                <w:shd w:fill="auto" w:val="clear"/>
                <w:lang w:val="lt-LT" w:eastAsia="en-US" w:bidi="ar-SA"/>
              </w:rPr>
              <w:t>Natūralaus akmens danga</w:t>
            </w:r>
          </w:p>
          <w:p>
            <w:pPr>
              <w:pStyle w:val="Normal"/>
              <w:widowControl/>
              <w:suppressAutoHyphens w:val="true"/>
              <w:spacing w:before="0" w:after="0"/>
              <w:jc w:val="left"/>
              <w:rPr>
                <w:color w:val="auto"/>
                <w:sz w:val="22"/>
              </w:rPr>
            </w:pPr>
            <w:r>
              <w:rPr>
                <w:rFonts w:eastAsia="Times New Roman" w:cs="Arial" w:ascii="Arial" w:hAnsi="Arial"/>
                <w:b/>
                <w:color w:val="000000"/>
                <w:kern w:val="0"/>
                <w:sz w:val="20"/>
                <w:szCs w:val="20"/>
                <w:shd w:fill="auto" w:val="clear"/>
                <w:lang w:val="lt-LT" w:eastAsia="en-US" w:bidi="ar-SA"/>
              </w:rPr>
              <w:t>Matmenys</w:t>
            </w:r>
            <w:r>
              <w:rPr>
                <w:rFonts w:eastAsia="Times New Roman" w:cs="Arial" w:ascii="Arial" w:hAnsi="Arial"/>
                <w:color w:val="000000"/>
                <w:kern w:val="0"/>
                <w:sz w:val="20"/>
                <w:szCs w:val="20"/>
                <w:shd w:fill="auto" w:val="clear"/>
                <w:lang w:val="lt-LT" w:eastAsia="en-US" w:bidi="ar-SA"/>
              </w:rPr>
              <w:t>: 500x2</w:t>
            </w:r>
            <w:r>
              <w:rPr>
                <w:rFonts w:eastAsia="Times New Roman" w:cs="Arial" w:ascii="Arial" w:hAnsi="Arial"/>
                <w:color w:val="000000"/>
                <w:kern w:val="0"/>
                <w:sz w:val="20"/>
                <w:szCs w:val="20"/>
                <w:shd w:fill="auto" w:val="clear"/>
                <w:lang w:val="lt-LT" w:eastAsia="en-US" w:bidi="ar-SA"/>
              </w:rPr>
              <w:t>45</w:t>
            </w:r>
            <w:r>
              <w:rPr>
                <w:rFonts w:eastAsia="Times New Roman" w:cs="Arial" w:ascii="Arial" w:hAnsi="Arial"/>
                <w:color w:val="000000"/>
                <w:kern w:val="0"/>
                <w:sz w:val="20"/>
                <w:szCs w:val="20"/>
                <w:shd w:fill="auto" w:val="clear"/>
                <w:lang w:val="lt-LT" w:eastAsia="en-US" w:bidi="ar-SA"/>
              </w:rPr>
              <w:t xml:space="preserve"> mm., d- 60 mm.</w:t>
            </w:r>
          </w:p>
          <w:p>
            <w:pPr>
              <w:pStyle w:val="Normal"/>
              <w:widowControl/>
              <w:suppressAutoHyphens w:val="true"/>
              <w:spacing w:before="0" w:after="0"/>
              <w:jc w:val="left"/>
              <w:rPr>
                <w:color w:val="auto"/>
                <w:sz w:val="22"/>
              </w:rPr>
            </w:pPr>
            <w:r>
              <w:rPr>
                <w:rFonts w:eastAsia="Times New Roman" w:cs="Arial" w:ascii="Arial" w:hAnsi="Arial"/>
                <w:b/>
                <w:color w:val="000000"/>
                <w:kern w:val="0"/>
                <w:sz w:val="20"/>
                <w:szCs w:val="20"/>
                <w:shd w:fill="auto" w:val="clear"/>
                <w:lang w:val="lt-LT" w:eastAsia="en-US" w:bidi="ar-SA"/>
              </w:rPr>
              <w:t>Spalva</w:t>
            </w:r>
            <w:r>
              <w:rPr>
                <w:rFonts w:eastAsia="Times New Roman" w:cs="Arial" w:ascii="Arial" w:hAnsi="Arial"/>
                <w:color w:val="000000"/>
                <w:kern w:val="0"/>
                <w:sz w:val="20"/>
                <w:szCs w:val="20"/>
                <w:shd w:fill="auto" w:val="clear"/>
                <w:lang w:val="lt-LT" w:eastAsia="en-US" w:bidi="ar-SA"/>
              </w:rPr>
              <w:t>: Pilka;</w:t>
            </w:r>
          </w:p>
          <w:p>
            <w:pPr>
              <w:pStyle w:val="Normal"/>
              <w:widowControl/>
              <w:suppressAutoHyphens w:val="true"/>
              <w:spacing w:before="0" w:after="0"/>
              <w:jc w:val="left"/>
              <w:rPr>
                <w:color w:val="auto"/>
                <w:sz w:val="22"/>
              </w:rPr>
            </w:pPr>
            <w:r>
              <w:rPr>
                <w:rFonts w:eastAsia="Times New Roman" w:cs="Arial" w:ascii="Arial" w:hAnsi="Arial"/>
                <w:b/>
                <w:color w:val="000000"/>
                <w:kern w:val="0"/>
                <w:sz w:val="20"/>
                <w:szCs w:val="20"/>
                <w:shd w:fill="auto" w:val="clear"/>
                <w:lang w:val="lt-LT" w:eastAsia="en-US" w:bidi="ar-SA"/>
              </w:rPr>
              <w:t>Aprašas</w:t>
            </w:r>
            <w:r>
              <w:rPr>
                <w:rFonts w:eastAsia="Times New Roman" w:cs="Arial" w:ascii="Arial" w:hAnsi="Arial"/>
                <w:color w:val="000000"/>
                <w:kern w:val="0"/>
                <w:sz w:val="20"/>
                <w:szCs w:val="20"/>
                <w:shd w:fill="auto" w:val="clear"/>
                <w:lang w:val="lt-LT" w:eastAsia="en-US" w:bidi="ar-SA"/>
              </w:rPr>
              <w:t xml:space="preserve">: </w:t>
            </w:r>
            <w:r>
              <w:rPr>
                <w:rFonts w:eastAsia="Times New Roman" w:cs="Arial" w:ascii="Arial" w:hAnsi="Arial"/>
                <w:b w:val="false"/>
                <w:bCs w:val="false"/>
                <w:color w:val="000000"/>
                <w:kern w:val="0"/>
                <w:sz w:val="20"/>
                <w:szCs w:val="20"/>
                <w:shd w:fill="auto" w:val="clear"/>
                <w:lang w:val="lt-LT" w:eastAsia="en-US" w:bidi="ar-SA"/>
              </w:rPr>
              <w:t>Aprašą žr. 3.7.  Natūralaus akmens fiziniai ir techniniai parametrai</w:t>
            </w:r>
          </w:p>
        </w:tc>
      </w:tr>
      <w:tr>
        <w:trPr>
          <w:trHeight w:val="2268" w:hRule="atLeast"/>
          <w:cantSplit w:val="true"/>
        </w:trPr>
        <w:tc>
          <w:tcPr>
            <w:tcW w:w="1184" w:type="dxa"/>
            <w:tcBorders>
              <w:top w:val="nil"/>
            </w:tcBorders>
            <w:vAlign w:val="center"/>
          </w:tcPr>
          <w:p>
            <w:pPr>
              <w:pStyle w:val="Normal"/>
              <w:widowControl/>
              <w:suppressAutoHyphens w:val="true"/>
              <w:spacing w:before="0" w:after="0"/>
              <w:jc w:val="center"/>
              <w:rPr>
                <w:color w:val="auto"/>
                <w:sz w:val="22"/>
              </w:rPr>
            </w:pPr>
            <w:r>
              <w:rPr>
                <w:rFonts w:eastAsia="Times New Roman" w:cs="Arial" w:ascii="Arial" w:hAnsi="Arial"/>
                <w:color w:val="000000"/>
                <w:kern w:val="0"/>
                <w:sz w:val="20"/>
                <w:szCs w:val="20"/>
                <w:shd w:fill="auto" w:val="clear"/>
                <w:lang w:val="lt-LT" w:eastAsia="en-US" w:bidi="ar-SA"/>
              </w:rPr>
              <w:t>DV-01</w:t>
            </w:r>
          </w:p>
        </w:tc>
        <w:tc>
          <w:tcPr>
            <w:tcW w:w="3386" w:type="dxa"/>
            <w:tcBorders>
              <w:top w:val="nil"/>
            </w:tcBorders>
            <w:vAlign w:val="center"/>
          </w:tcPr>
          <w:p>
            <w:pPr>
              <w:pStyle w:val="Normal"/>
              <w:widowControl/>
              <w:suppressAutoHyphens w:val="true"/>
              <w:spacing w:before="0" w:after="0"/>
              <w:jc w:val="center"/>
              <w:rPr>
                <w:rFonts w:ascii="Arial" w:hAnsi="Arial" w:eastAsia="Times New Roman" w:cs="Arial"/>
                <w:color w:val="auto"/>
                <w:kern w:val="0"/>
                <w:sz w:val="20"/>
                <w:szCs w:val="20"/>
                <w:highlight w:val="none"/>
                <w:shd w:fill="auto" w:val="clear"/>
                <w:lang w:val="lt-LT" w:eastAsia="en-US" w:bidi="ar-SA"/>
              </w:rPr>
            </w:pPr>
            <w:r>
              <w:rPr>
                <w:rFonts w:eastAsia="Times New Roman" w:cs="Arial" w:ascii="Arial" w:hAnsi="Arial"/>
                <w:color w:val="auto"/>
                <w:kern w:val="0"/>
                <w:sz w:val="20"/>
                <w:szCs w:val="20"/>
                <w:shd w:fill="auto" w:val="clear"/>
                <w:lang w:val="lt-LT" w:eastAsia="en-US" w:bidi="ar-SA"/>
              </w:rPr>
              <w:drawing>
                <wp:anchor behindDoc="0" distT="0" distB="0" distL="0" distR="0" simplePos="0" locked="0" layoutInCell="0" allowOverlap="1" relativeHeight="185">
                  <wp:simplePos x="0" y="0"/>
                  <wp:positionH relativeFrom="column">
                    <wp:posOffset>249555</wp:posOffset>
                  </wp:positionH>
                  <wp:positionV relativeFrom="paragraph">
                    <wp:posOffset>67310</wp:posOffset>
                  </wp:positionV>
                  <wp:extent cx="1355090" cy="1238885"/>
                  <wp:effectExtent l="0" t="0" r="0" b="0"/>
                  <wp:wrapSquare wrapText="largest"/>
                  <wp:docPr id="23" name="Image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41"/>
                          <pic:cNvPicPr>
                            <a:picLocks noChangeAspect="1" noChangeArrowheads="1"/>
                          </pic:cNvPicPr>
                        </pic:nvPicPr>
                        <pic:blipFill>
                          <a:blip r:embed="rId23"/>
                          <a:stretch>
                            <a:fillRect/>
                          </a:stretch>
                        </pic:blipFill>
                        <pic:spPr bwMode="auto">
                          <a:xfrm>
                            <a:off x="0" y="0"/>
                            <a:ext cx="1355090" cy="1238885"/>
                          </a:xfrm>
                          <a:prstGeom prst="rect">
                            <a:avLst/>
                          </a:prstGeom>
                          <a:noFill/>
                        </pic:spPr>
                      </pic:pic>
                    </a:graphicData>
                  </a:graphic>
                </wp:anchor>
              </w:drawing>
            </w:r>
          </w:p>
        </w:tc>
        <w:tc>
          <w:tcPr>
            <w:tcW w:w="5632" w:type="dxa"/>
            <w:tcBorders>
              <w:top w:val="nil"/>
            </w:tcBorders>
          </w:tcPr>
          <w:p>
            <w:pPr>
              <w:pStyle w:val="Normal"/>
              <w:widowControl/>
              <w:suppressAutoHyphens w:val="true"/>
              <w:spacing w:before="0" w:after="0"/>
              <w:jc w:val="left"/>
              <w:rPr>
                <w:color w:val="auto"/>
                <w:sz w:val="22"/>
              </w:rPr>
            </w:pPr>
            <w:r>
              <w:rPr>
                <w:rFonts w:eastAsia="Times New Roman" w:cs="Arial" w:ascii="Arial" w:hAnsi="Arial"/>
                <w:b/>
                <w:color w:val="000000"/>
                <w:kern w:val="0"/>
                <w:sz w:val="20"/>
                <w:szCs w:val="22"/>
                <w:shd w:fill="auto" w:val="clear"/>
                <w:lang w:val="lt-LT" w:eastAsia="en-US" w:bidi="ar-SA"/>
              </w:rPr>
              <w:t>Dirbtinė vaikų žaidimų aikštelės danga</w:t>
            </w:r>
          </w:p>
          <w:p>
            <w:pPr>
              <w:pStyle w:val="Normal"/>
              <w:widowControl/>
              <w:suppressAutoHyphens w:val="true"/>
              <w:spacing w:before="0" w:after="0"/>
              <w:jc w:val="left"/>
              <w:rPr>
                <w:color w:val="auto"/>
                <w:sz w:val="22"/>
              </w:rPr>
            </w:pPr>
            <w:r>
              <w:rPr>
                <w:rFonts w:eastAsia="Times New Roman" w:cs="Arial" w:ascii="Arial" w:hAnsi="Arial"/>
                <w:b/>
                <w:color w:val="000000"/>
                <w:kern w:val="0"/>
                <w:sz w:val="20"/>
                <w:szCs w:val="22"/>
                <w:shd w:fill="auto" w:val="clear"/>
                <w:lang w:val="lt-LT" w:eastAsia="en-US" w:bidi="ar-SA"/>
              </w:rPr>
              <w:t xml:space="preserve">Spalva: </w:t>
            </w:r>
            <w:r>
              <w:rPr>
                <w:rFonts w:eastAsia="Times New Roman" w:cs="Arial" w:ascii="Arial" w:hAnsi="Arial"/>
                <w:color w:val="000000"/>
                <w:kern w:val="0"/>
                <w:sz w:val="20"/>
                <w:szCs w:val="20"/>
                <w:shd w:fill="auto" w:val="clear"/>
                <w:lang w:val="lt-LT" w:eastAsia="en-US" w:bidi="ar-SA"/>
              </w:rPr>
              <w:t>Tikslinama DP</w:t>
            </w:r>
          </w:p>
          <w:p>
            <w:pPr>
              <w:pStyle w:val="Normal"/>
              <w:suppressAutoHyphens w:val="true"/>
              <w:spacing w:before="0" w:after="0"/>
              <w:jc w:val="left"/>
              <w:rPr>
                <w:color w:val="auto"/>
                <w:sz w:val="22"/>
              </w:rPr>
            </w:pPr>
            <w:r>
              <w:rPr>
                <w:rFonts w:eastAsia="Times New Roman" w:cs="Arial" w:ascii="Arial" w:hAnsi="Arial"/>
                <w:b/>
                <w:bCs/>
                <w:color w:val="000000"/>
                <w:kern w:val="0"/>
                <w:sz w:val="20"/>
                <w:szCs w:val="22"/>
                <w:shd w:fill="auto" w:val="clear"/>
                <w:lang w:val="lt-LT" w:eastAsia="en-US" w:bidi="ar-SA"/>
              </w:rPr>
              <w:t xml:space="preserve">Aprašas: </w:t>
            </w:r>
            <w:r>
              <w:rPr>
                <w:rFonts w:eastAsia="Times New Roman" w:cs="Arial" w:ascii="Arial" w:hAnsi="Arial"/>
                <w:color w:val="000000"/>
                <w:kern w:val="0"/>
                <w:sz w:val="20"/>
                <w:szCs w:val="20"/>
                <w:shd w:fill="auto" w:val="clear"/>
                <w:lang w:val="lt-LT" w:eastAsia="en-US" w:bidi="ar-SA"/>
              </w:rPr>
              <w:t>Platesnis aprašymas 3.5.5. Dirbtinė vaikų žaidimų aikštelės danga (DV-01)</w:t>
            </w:r>
          </w:p>
        </w:tc>
      </w:tr>
      <w:tr>
        <w:trPr>
          <w:trHeight w:val="2268" w:hRule="atLeast"/>
          <w:cantSplit w:val="true"/>
        </w:trPr>
        <w:tc>
          <w:tcPr>
            <w:tcW w:w="1184" w:type="dxa"/>
            <w:tcBorders>
              <w:top w:val="nil"/>
            </w:tcBorders>
            <w:vAlign w:val="center"/>
          </w:tcPr>
          <w:p>
            <w:pPr>
              <w:pStyle w:val="Normal"/>
              <w:widowControl/>
              <w:suppressAutoHyphens w:val="true"/>
              <w:spacing w:before="0" w:after="0"/>
              <w:jc w:val="center"/>
              <w:rPr>
                <w:color w:val="auto"/>
                <w:sz w:val="22"/>
              </w:rPr>
            </w:pPr>
            <w:r>
              <w:drawing>
                <wp:anchor behindDoc="0" distT="0" distB="0" distL="0" distR="0" simplePos="0" locked="0" layoutInCell="0" allowOverlap="1" relativeHeight="150">
                  <wp:simplePos x="0" y="0"/>
                  <wp:positionH relativeFrom="margin">
                    <wp:posOffset>823595</wp:posOffset>
                  </wp:positionH>
                  <wp:positionV relativeFrom="paragraph">
                    <wp:posOffset>248285</wp:posOffset>
                  </wp:positionV>
                  <wp:extent cx="2016125" cy="1257935"/>
                  <wp:effectExtent l="0" t="0" r="0" b="0"/>
                  <wp:wrapSquare wrapText="largest"/>
                  <wp:docPr id="24"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8"/>
                          <pic:cNvPicPr>
                            <a:picLocks noChangeAspect="1" noChangeArrowheads="1"/>
                          </pic:cNvPicPr>
                        </pic:nvPicPr>
                        <pic:blipFill>
                          <a:blip r:embed="rId24"/>
                          <a:stretch>
                            <a:fillRect/>
                          </a:stretch>
                        </pic:blipFill>
                        <pic:spPr bwMode="auto">
                          <a:xfrm>
                            <a:off x="0" y="0"/>
                            <a:ext cx="2016125" cy="1257935"/>
                          </a:xfrm>
                          <a:prstGeom prst="rect">
                            <a:avLst/>
                          </a:prstGeom>
                          <a:noFill/>
                        </pic:spPr>
                      </pic:pic>
                    </a:graphicData>
                  </a:graphic>
                </wp:anchor>
              </w:drawing>
            </w:r>
            <w:r>
              <w:rPr>
                <w:rFonts w:ascii="Arial" w:hAnsi="Arial"/>
                <w:color w:val="000000"/>
                <w:sz w:val="20"/>
                <w:szCs w:val="20"/>
                <w:shd w:fill="auto" w:val="clear"/>
              </w:rPr>
              <w:t>BG-01</w:t>
            </w:r>
          </w:p>
        </w:tc>
        <w:tc>
          <w:tcPr>
            <w:tcW w:w="3386" w:type="dxa"/>
            <w:tcBorders>
              <w:top w:val="nil"/>
            </w:tcBorders>
            <w:vAlign w:val="center"/>
          </w:tcPr>
          <w:p>
            <w:pPr>
              <w:pStyle w:val="Normal"/>
              <w:widowControl/>
              <w:suppressAutoHyphens w:val="true"/>
              <w:spacing w:before="0" w:after="0"/>
              <w:jc w:val="center"/>
              <w:rPr>
                <w:rFonts w:ascii="Arial" w:hAnsi="Arial" w:eastAsia="Times New Roman" w:cs="Arial"/>
                <w:color w:val="auto"/>
                <w:kern w:val="0"/>
                <w:sz w:val="20"/>
                <w:szCs w:val="20"/>
                <w:highlight w:val="none"/>
                <w:shd w:fill="auto" w:val="clear"/>
                <w:lang w:val="lt-LT" w:eastAsia="en-US" w:bidi="ar-SA"/>
              </w:rPr>
            </w:pPr>
            <w:r>
              <w:rPr>
                <w:rFonts w:eastAsia="Times New Roman" w:cs="Arial" w:ascii="Arial" w:hAnsi="Arial"/>
                <w:color w:val="auto"/>
                <w:kern w:val="0"/>
                <w:sz w:val="20"/>
                <w:szCs w:val="20"/>
                <w:shd w:fill="auto" w:val="clear"/>
                <w:lang w:val="lt-LT" w:eastAsia="en-US" w:bidi="ar-SA"/>
              </w:rPr>
            </w:r>
          </w:p>
        </w:tc>
        <w:tc>
          <w:tcPr>
            <w:tcW w:w="5632" w:type="dxa"/>
            <w:tcBorders>
              <w:top w:val="nil"/>
            </w:tcBorders>
          </w:tcPr>
          <w:p>
            <w:pPr>
              <w:pStyle w:val="Normal"/>
              <w:widowControl/>
              <w:suppressAutoHyphens w:val="true"/>
              <w:spacing w:before="0" w:after="0"/>
              <w:jc w:val="left"/>
              <w:rPr>
                <w:color w:val="auto"/>
                <w:sz w:val="22"/>
              </w:rPr>
            </w:pPr>
            <w:r>
              <w:rPr>
                <w:rFonts w:eastAsia="Times New Roman" w:cs="Arial" w:ascii="Arial" w:hAnsi="Arial"/>
                <w:b/>
                <w:color w:val="auto"/>
                <w:kern w:val="0"/>
                <w:sz w:val="20"/>
                <w:szCs w:val="20"/>
                <w:lang w:val="lt-LT" w:eastAsia="en-US" w:bidi="ar-SA"/>
              </w:rPr>
              <w:t>Natūralaus akmens vejos bortas</w:t>
            </w:r>
          </w:p>
          <w:p>
            <w:pPr>
              <w:pStyle w:val="Normal"/>
              <w:widowControl/>
              <w:suppressAutoHyphens w:val="true"/>
              <w:spacing w:before="0" w:after="0"/>
              <w:jc w:val="left"/>
              <w:rPr>
                <w:color w:val="auto"/>
                <w:sz w:val="22"/>
              </w:rPr>
            </w:pPr>
            <w:r>
              <w:rPr>
                <w:rFonts w:eastAsia="Times New Roman" w:cs="Arial" w:ascii="Arial" w:hAnsi="Arial"/>
                <w:b/>
                <w:color w:val="auto"/>
                <w:kern w:val="0"/>
                <w:sz w:val="20"/>
                <w:szCs w:val="20"/>
                <w:lang w:val="lt-LT" w:eastAsia="en-US" w:bidi="ar-SA"/>
              </w:rPr>
              <w:t xml:space="preserve">Matmenys: </w:t>
            </w:r>
            <w:r>
              <w:rPr>
                <w:rFonts w:eastAsia="Times New Roman" w:cs="Arial" w:ascii="Arial" w:hAnsi="Arial"/>
                <w:b w:val="false"/>
                <w:bCs w:val="false"/>
                <w:color w:val="auto"/>
                <w:kern w:val="0"/>
                <w:sz w:val="20"/>
                <w:szCs w:val="20"/>
                <w:lang w:val="lt-LT" w:eastAsia="en-US" w:bidi="ar-SA"/>
              </w:rPr>
              <w:t>1000x80x200 mm</w:t>
            </w:r>
          </w:p>
          <w:p>
            <w:pPr>
              <w:pStyle w:val="Normal"/>
              <w:widowControl/>
              <w:suppressAutoHyphens w:val="true"/>
              <w:spacing w:before="0" w:after="0"/>
              <w:jc w:val="left"/>
              <w:rPr>
                <w:color w:val="auto"/>
                <w:sz w:val="22"/>
              </w:rPr>
            </w:pPr>
            <w:r>
              <w:rPr>
                <w:rFonts w:eastAsia="Times New Roman" w:cs="Arial" w:ascii="Arial" w:hAnsi="Arial"/>
                <w:b/>
                <w:bCs/>
                <w:color w:val="auto"/>
                <w:kern w:val="0"/>
                <w:sz w:val="20"/>
                <w:szCs w:val="20"/>
                <w:lang w:val="lt-LT" w:eastAsia="en-US" w:bidi="ar-SA"/>
              </w:rPr>
              <w:t>Spalva:</w:t>
            </w:r>
            <w:r>
              <w:rPr>
                <w:rFonts w:eastAsia="Times New Roman" w:cs="Arial" w:ascii="Arial" w:hAnsi="Arial"/>
                <w:b w:val="false"/>
                <w:bCs w:val="false"/>
                <w:color w:val="auto"/>
                <w:kern w:val="0"/>
                <w:sz w:val="20"/>
                <w:szCs w:val="20"/>
                <w:lang w:val="lt-LT" w:eastAsia="en-US" w:bidi="ar-SA"/>
              </w:rPr>
              <w:t xml:space="preserve"> Pilka</w:t>
            </w:r>
          </w:p>
          <w:p>
            <w:pPr>
              <w:pStyle w:val="Normal"/>
              <w:suppressAutoHyphens w:val="true"/>
              <w:spacing w:before="0" w:after="0"/>
              <w:jc w:val="left"/>
              <w:rPr>
                <w:color w:val="auto"/>
                <w:sz w:val="22"/>
              </w:rPr>
            </w:pPr>
            <w:r>
              <w:rPr>
                <w:rFonts w:eastAsia="Times New Roman" w:cs="Arial" w:ascii="Arial" w:hAnsi="Arial"/>
                <w:b/>
                <w:bCs/>
                <w:color w:val="auto"/>
                <w:kern w:val="0"/>
                <w:sz w:val="20"/>
                <w:szCs w:val="20"/>
                <w:lang w:val="lt-LT" w:eastAsia="en-US" w:bidi="ar-SA"/>
              </w:rPr>
              <w:t xml:space="preserve">Aprašas: </w:t>
            </w:r>
            <w:r>
              <w:rPr>
                <w:rFonts w:cs="Arial" w:ascii="Arial" w:hAnsi="Arial"/>
                <w:color w:val="000000"/>
                <w:sz w:val="20"/>
                <w:szCs w:val="20"/>
                <w:shd w:fill="auto" w:val="clear"/>
              </w:rPr>
              <w:t>Pjauto akmens bortas. Visi matomi paviršiai – deginti. Magminės intrūzinės kilmės. Susideda iš smulkių ir vidutinių (1-3 mm) dalelių; struktūra kristalinė (granitinė), vietomis šiek tiek orientuota. Uoliena kompaktiška, neporinga. Balto granito petrografinė analizė: sudarytas iš baltų ir šviesiai pilkų feldšpatų (60-70 %), pilko kvarco (20-30 %) ir 10-15 % juodo žėručio (biotito).</w:t>
            </w:r>
          </w:p>
          <w:p>
            <w:pPr>
              <w:pStyle w:val="Normal"/>
              <w:suppressAutoHyphens w:val="true"/>
              <w:spacing w:before="0" w:after="0"/>
              <w:jc w:val="left"/>
              <w:rPr>
                <w:color w:val="auto"/>
                <w:sz w:val="22"/>
              </w:rPr>
            </w:pPr>
            <w:r>
              <w:rPr>
                <w:rFonts w:cs="Arial" w:ascii="Arial" w:hAnsi="Arial"/>
                <w:color w:val="000000"/>
                <w:sz w:val="20"/>
                <w:szCs w:val="20"/>
                <w:shd w:fill="auto" w:val="clear"/>
              </w:rPr>
              <w:t>Pateikiamas petrografinės analizės aprašas pagal LST EN 12407.</w:t>
            </w:r>
          </w:p>
        </w:tc>
      </w:tr>
      <w:tr>
        <w:trPr>
          <w:trHeight w:val="2268" w:hRule="atLeast"/>
          <w:cantSplit w:val="true"/>
        </w:trPr>
        <w:tc>
          <w:tcPr>
            <w:tcW w:w="1184" w:type="dxa"/>
            <w:tcBorders>
              <w:top w:val="nil"/>
            </w:tcBorders>
            <w:vAlign w:val="center"/>
          </w:tcPr>
          <w:p>
            <w:pPr>
              <w:pStyle w:val="Normal"/>
              <w:widowControl/>
              <w:suppressAutoHyphens w:val="true"/>
              <w:spacing w:before="0" w:after="0"/>
              <w:jc w:val="center"/>
              <w:rPr>
                <w:color w:val="auto"/>
                <w:sz w:val="22"/>
              </w:rPr>
            </w:pPr>
            <w:r>
              <w:drawing>
                <wp:anchor behindDoc="0" distT="0" distB="0" distL="0" distR="0" simplePos="0" locked="0" layoutInCell="0" allowOverlap="1" relativeHeight="151">
                  <wp:simplePos x="0" y="0"/>
                  <wp:positionH relativeFrom="margin">
                    <wp:posOffset>773430</wp:posOffset>
                  </wp:positionH>
                  <wp:positionV relativeFrom="paragraph">
                    <wp:posOffset>334010</wp:posOffset>
                  </wp:positionV>
                  <wp:extent cx="2016125" cy="1259840"/>
                  <wp:effectExtent l="0" t="0" r="0" b="0"/>
                  <wp:wrapSquare wrapText="largest"/>
                  <wp:docPr id="25"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9"/>
                          <pic:cNvPicPr>
                            <a:picLocks noChangeAspect="1" noChangeArrowheads="1"/>
                          </pic:cNvPicPr>
                        </pic:nvPicPr>
                        <pic:blipFill>
                          <a:blip r:embed="rId25"/>
                          <a:stretch>
                            <a:fillRect/>
                          </a:stretch>
                        </pic:blipFill>
                        <pic:spPr bwMode="auto">
                          <a:xfrm>
                            <a:off x="0" y="0"/>
                            <a:ext cx="2016125" cy="1259840"/>
                          </a:xfrm>
                          <a:prstGeom prst="rect">
                            <a:avLst/>
                          </a:prstGeom>
                          <a:noFill/>
                        </pic:spPr>
                      </pic:pic>
                    </a:graphicData>
                  </a:graphic>
                </wp:anchor>
              </w:drawing>
            </w:r>
            <w:r>
              <w:rPr>
                <w:rFonts w:ascii="Arial" w:hAnsi="Arial"/>
                <w:color w:val="000000"/>
                <w:sz w:val="20"/>
                <w:szCs w:val="20"/>
                <w:shd w:fill="auto" w:val="clear"/>
              </w:rPr>
              <w:t>BG-02</w:t>
            </w:r>
          </w:p>
        </w:tc>
        <w:tc>
          <w:tcPr>
            <w:tcW w:w="3386" w:type="dxa"/>
            <w:tcBorders>
              <w:top w:val="nil"/>
            </w:tcBorders>
            <w:vAlign w:val="center"/>
          </w:tcPr>
          <w:p>
            <w:pPr>
              <w:pStyle w:val="Normal"/>
              <w:widowControl/>
              <w:suppressAutoHyphens w:val="true"/>
              <w:spacing w:before="0" w:after="0"/>
              <w:jc w:val="center"/>
              <w:rPr>
                <w:rFonts w:ascii="Arial" w:hAnsi="Arial" w:eastAsia="Times New Roman" w:cs="Arial"/>
                <w:color w:val="auto"/>
                <w:kern w:val="0"/>
                <w:sz w:val="20"/>
                <w:szCs w:val="20"/>
                <w:highlight w:val="none"/>
                <w:shd w:fill="auto" w:val="clear"/>
                <w:lang w:val="lt-LT" w:eastAsia="en-US" w:bidi="ar-SA"/>
              </w:rPr>
            </w:pPr>
            <w:r>
              <w:rPr>
                <w:rFonts w:eastAsia="Times New Roman" w:cs="Arial" w:ascii="Arial" w:hAnsi="Arial"/>
                <w:color w:val="auto"/>
                <w:kern w:val="0"/>
                <w:sz w:val="20"/>
                <w:szCs w:val="20"/>
                <w:shd w:fill="auto" w:val="clear"/>
                <w:lang w:val="lt-LT" w:eastAsia="en-US" w:bidi="ar-SA"/>
              </w:rPr>
            </w:r>
          </w:p>
        </w:tc>
        <w:tc>
          <w:tcPr>
            <w:tcW w:w="5632" w:type="dxa"/>
            <w:tcBorders>
              <w:top w:val="nil"/>
            </w:tcBorders>
          </w:tcPr>
          <w:p>
            <w:pPr>
              <w:pStyle w:val="Normal"/>
              <w:widowControl/>
              <w:suppressAutoHyphens w:val="true"/>
              <w:spacing w:before="0" w:after="0"/>
              <w:jc w:val="left"/>
              <w:rPr>
                <w:color w:val="auto"/>
                <w:sz w:val="22"/>
              </w:rPr>
            </w:pPr>
            <w:r>
              <w:rPr>
                <w:rFonts w:eastAsia="Times New Roman" w:cs="Arial" w:ascii="Arial" w:hAnsi="Arial"/>
                <w:b/>
                <w:color w:val="auto"/>
                <w:kern w:val="0"/>
                <w:sz w:val="20"/>
                <w:szCs w:val="20"/>
                <w:lang w:val="lt-LT" w:eastAsia="en-US" w:bidi="ar-SA"/>
              </w:rPr>
              <w:t>Natūralaus akmens kelio bortas</w:t>
            </w:r>
          </w:p>
          <w:p>
            <w:pPr>
              <w:pStyle w:val="Normal"/>
              <w:widowControl/>
              <w:suppressAutoHyphens w:val="true"/>
              <w:spacing w:before="0" w:after="0"/>
              <w:jc w:val="left"/>
              <w:rPr>
                <w:color w:val="auto"/>
                <w:sz w:val="22"/>
              </w:rPr>
            </w:pPr>
            <w:r>
              <w:rPr>
                <w:rFonts w:eastAsia="Times New Roman" w:cs="Arial" w:ascii="Arial" w:hAnsi="Arial"/>
                <w:b/>
                <w:color w:val="auto"/>
                <w:kern w:val="0"/>
                <w:sz w:val="20"/>
                <w:szCs w:val="20"/>
                <w:lang w:val="lt-LT" w:eastAsia="en-US" w:bidi="ar-SA"/>
              </w:rPr>
              <w:t xml:space="preserve">Matmenys: </w:t>
            </w:r>
            <w:r>
              <w:rPr>
                <w:rFonts w:eastAsia="Times New Roman" w:cs="Arial" w:ascii="Arial" w:hAnsi="Arial"/>
                <w:b w:val="false"/>
                <w:bCs w:val="false"/>
                <w:color w:val="auto"/>
                <w:kern w:val="0"/>
                <w:sz w:val="20"/>
                <w:szCs w:val="20"/>
                <w:lang w:val="lt-LT" w:eastAsia="en-US" w:bidi="ar-SA"/>
              </w:rPr>
              <w:t>1000x150x200 mm</w:t>
            </w:r>
          </w:p>
          <w:p>
            <w:pPr>
              <w:pStyle w:val="Normal"/>
              <w:widowControl/>
              <w:suppressAutoHyphens w:val="true"/>
              <w:spacing w:before="0" w:after="0"/>
              <w:jc w:val="left"/>
              <w:rPr>
                <w:color w:val="auto"/>
                <w:sz w:val="22"/>
              </w:rPr>
            </w:pPr>
            <w:r>
              <w:rPr>
                <w:rFonts w:eastAsia="Times New Roman" w:cs="Arial" w:ascii="Arial" w:hAnsi="Arial"/>
                <w:b/>
                <w:bCs/>
                <w:color w:val="auto"/>
                <w:kern w:val="0"/>
                <w:sz w:val="20"/>
                <w:szCs w:val="20"/>
                <w:lang w:val="lt-LT" w:eastAsia="en-US" w:bidi="ar-SA"/>
              </w:rPr>
              <w:t>Spalva:</w:t>
            </w:r>
            <w:r>
              <w:rPr>
                <w:rFonts w:eastAsia="Times New Roman" w:cs="Arial" w:ascii="Arial" w:hAnsi="Arial"/>
                <w:b w:val="false"/>
                <w:bCs w:val="false"/>
                <w:color w:val="auto"/>
                <w:kern w:val="0"/>
                <w:sz w:val="20"/>
                <w:szCs w:val="20"/>
                <w:lang w:val="lt-LT" w:eastAsia="en-US" w:bidi="ar-SA"/>
              </w:rPr>
              <w:t xml:space="preserve"> Pilka</w:t>
            </w:r>
          </w:p>
          <w:p>
            <w:pPr>
              <w:pStyle w:val="Normal"/>
              <w:suppressAutoHyphens w:val="true"/>
              <w:spacing w:before="0" w:after="0"/>
              <w:jc w:val="left"/>
              <w:rPr>
                <w:color w:val="auto"/>
                <w:sz w:val="22"/>
              </w:rPr>
            </w:pPr>
            <w:r>
              <w:rPr>
                <w:rFonts w:eastAsia="Times New Roman" w:cs="Arial" w:ascii="Arial" w:hAnsi="Arial"/>
                <w:b/>
                <w:bCs/>
                <w:color w:val="auto"/>
                <w:kern w:val="0"/>
                <w:sz w:val="20"/>
                <w:szCs w:val="20"/>
                <w:lang w:val="lt-LT" w:eastAsia="en-US" w:bidi="ar-SA"/>
              </w:rPr>
              <w:t xml:space="preserve">Aprašas: </w:t>
            </w:r>
            <w:r>
              <w:rPr>
                <w:rFonts w:cs="Arial" w:ascii="Arial" w:hAnsi="Arial"/>
                <w:color w:val="000000"/>
                <w:sz w:val="20"/>
                <w:szCs w:val="20"/>
                <w:shd w:fill="auto" w:val="clear"/>
              </w:rPr>
              <w:t>Pjauto akmens bortas. Visi matomi paviršiai – deginti. Magminės intrūzinės kilmės. Susideda iš smulkių ir vidutinių (1-3 mm) dalelių; struktūra kristalinė (granitinė), vietomis šiek tiek orientuota. Uoliena kompaktiška, neporinga. Balto granito petrografinė analizė: sudarytas iš baltų ir šviesiai pilkų feldšpatų (60-70 %), pilko kvarco (20-30 %) ir 10-15 % juodo žėručio (biotito).</w:t>
            </w:r>
          </w:p>
          <w:p>
            <w:pPr>
              <w:pStyle w:val="Normal"/>
              <w:suppressAutoHyphens w:val="true"/>
              <w:spacing w:before="0" w:after="0"/>
              <w:jc w:val="left"/>
              <w:rPr>
                <w:color w:val="auto"/>
                <w:sz w:val="22"/>
              </w:rPr>
            </w:pPr>
            <w:r>
              <w:rPr>
                <w:rFonts w:cs="Arial" w:ascii="Arial" w:hAnsi="Arial"/>
                <w:color w:val="000000"/>
                <w:sz w:val="20"/>
                <w:szCs w:val="20"/>
                <w:shd w:fill="auto" w:val="clear"/>
              </w:rPr>
              <w:t>Pateikiamas petrografinės analizės aprašas pagal LST EN 12407.</w:t>
            </w:r>
          </w:p>
        </w:tc>
      </w:tr>
      <w:tr>
        <w:trPr>
          <w:trHeight w:val="2268" w:hRule="atLeast"/>
          <w:cantSplit w:val="true"/>
        </w:trPr>
        <w:tc>
          <w:tcPr>
            <w:tcW w:w="1184" w:type="dxa"/>
            <w:tcBorders>
              <w:top w:val="nil"/>
            </w:tcBorders>
            <w:vAlign w:val="center"/>
          </w:tcPr>
          <w:p>
            <w:pPr>
              <w:pStyle w:val="Normal"/>
              <w:widowControl/>
              <w:suppressAutoHyphens w:val="true"/>
              <w:spacing w:before="0" w:after="0"/>
              <w:jc w:val="center"/>
              <w:rPr>
                <w:color w:val="auto"/>
                <w:sz w:val="22"/>
              </w:rPr>
            </w:pPr>
            <w:r>
              <w:rPr>
                <w:rFonts w:ascii="Arial" w:hAnsi="Arial"/>
                <w:color w:val="000000"/>
                <w:sz w:val="20"/>
                <w:szCs w:val="20"/>
                <w:shd w:fill="auto" w:val="clear"/>
              </w:rPr>
              <w:drawing>
                <wp:anchor behindDoc="0" distT="0" distB="0" distL="0" distR="0" simplePos="0" locked="0" layoutInCell="0" allowOverlap="1" relativeHeight="152">
                  <wp:simplePos x="0" y="0"/>
                  <wp:positionH relativeFrom="column">
                    <wp:posOffset>775335</wp:posOffset>
                  </wp:positionH>
                  <wp:positionV relativeFrom="paragraph">
                    <wp:posOffset>194310</wp:posOffset>
                  </wp:positionV>
                  <wp:extent cx="1890395" cy="1181100"/>
                  <wp:effectExtent l="0" t="0" r="0" b="0"/>
                  <wp:wrapSquare wrapText="largest"/>
                  <wp:docPr id="26" name="Image9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9 Copy 1"/>
                          <pic:cNvPicPr>
                            <a:picLocks noChangeAspect="1" noChangeArrowheads="1"/>
                          </pic:cNvPicPr>
                        </pic:nvPicPr>
                        <pic:blipFill>
                          <a:blip r:embed="rId26"/>
                          <a:stretch>
                            <a:fillRect/>
                          </a:stretch>
                        </pic:blipFill>
                        <pic:spPr bwMode="auto">
                          <a:xfrm>
                            <a:off x="0" y="0"/>
                            <a:ext cx="1890395" cy="1181100"/>
                          </a:xfrm>
                          <a:prstGeom prst="rect">
                            <a:avLst/>
                          </a:prstGeom>
                          <a:noFill/>
                        </pic:spPr>
                      </pic:pic>
                    </a:graphicData>
                  </a:graphic>
                </wp:anchor>
              </w:drawing>
            </w:r>
            <w:r>
              <w:rPr>
                <w:rFonts w:ascii="Arial" w:hAnsi="Arial"/>
                <w:color w:val="000000"/>
                <w:sz w:val="20"/>
                <w:szCs w:val="20"/>
                <w:shd w:fill="auto" w:val="clear"/>
              </w:rPr>
              <w:t>BG-03</w:t>
            </w:r>
          </w:p>
        </w:tc>
        <w:tc>
          <w:tcPr>
            <w:tcW w:w="3386" w:type="dxa"/>
            <w:tcBorders>
              <w:top w:val="nil"/>
            </w:tcBorders>
            <w:vAlign w:val="center"/>
          </w:tcPr>
          <w:p>
            <w:pPr>
              <w:pStyle w:val="Normal"/>
              <w:widowControl/>
              <w:suppressAutoHyphens w:val="true"/>
              <w:spacing w:before="0" w:after="0"/>
              <w:jc w:val="center"/>
              <w:rPr>
                <w:rFonts w:ascii="Arial" w:hAnsi="Arial" w:eastAsia="Times New Roman" w:cs="Arial"/>
                <w:color w:val="auto"/>
                <w:kern w:val="0"/>
                <w:sz w:val="20"/>
                <w:szCs w:val="20"/>
                <w:highlight w:val="none"/>
                <w:shd w:fill="auto" w:val="clear"/>
                <w:lang w:val="lt-LT" w:eastAsia="en-US" w:bidi="ar-SA"/>
              </w:rPr>
            </w:pPr>
            <w:r>
              <w:rPr>
                <w:rFonts w:eastAsia="Times New Roman" w:cs="Arial" w:ascii="Arial" w:hAnsi="Arial"/>
                <w:color w:val="auto"/>
                <w:kern w:val="0"/>
                <w:sz w:val="20"/>
                <w:szCs w:val="20"/>
                <w:shd w:fill="auto" w:val="clear"/>
                <w:lang w:val="lt-LT" w:eastAsia="en-US" w:bidi="ar-SA"/>
              </w:rPr>
            </w:r>
          </w:p>
        </w:tc>
        <w:tc>
          <w:tcPr>
            <w:tcW w:w="5632" w:type="dxa"/>
            <w:tcBorders>
              <w:top w:val="nil"/>
            </w:tcBorders>
          </w:tcPr>
          <w:p>
            <w:pPr>
              <w:pStyle w:val="Normal"/>
              <w:widowControl/>
              <w:suppressAutoHyphens w:val="true"/>
              <w:spacing w:before="0" w:after="0"/>
              <w:jc w:val="left"/>
              <w:rPr>
                <w:color w:val="auto"/>
                <w:sz w:val="22"/>
              </w:rPr>
            </w:pPr>
            <w:r>
              <w:rPr>
                <w:rFonts w:eastAsia="Times New Roman" w:cs="Arial" w:ascii="Arial" w:hAnsi="Arial"/>
                <w:b/>
                <w:color w:val="auto"/>
                <w:kern w:val="0"/>
                <w:sz w:val="20"/>
                <w:szCs w:val="20"/>
                <w:lang w:val="lt-LT" w:eastAsia="en-US" w:bidi="ar-SA"/>
              </w:rPr>
              <w:t>Natūralaus akmens kelio bortas</w:t>
            </w:r>
          </w:p>
          <w:p>
            <w:pPr>
              <w:pStyle w:val="Normal"/>
              <w:widowControl/>
              <w:suppressAutoHyphens w:val="true"/>
              <w:spacing w:before="0" w:after="0"/>
              <w:jc w:val="left"/>
              <w:rPr>
                <w:color w:val="auto"/>
                <w:sz w:val="22"/>
              </w:rPr>
            </w:pPr>
            <w:r>
              <w:rPr>
                <w:rFonts w:eastAsia="Times New Roman" w:cs="Arial" w:ascii="Arial" w:hAnsi="Arial"/>
                <w:b/>
                <w:color w:val="auto"/>
                <w:kern w:val="0"/>
                <w:sz w:val="20"/>
                <w:szCs w:val="20"/>
                <w:lang w:val="lt-LT" w:eastAsia="en-US" w:bidi="ar-SA"/>
              </w:rPr>
              <w:t xml:space="preserve">Matmenys: </w:t>
            </w:r>
            <w:r>
              <w:rPr>
                <w:rFonts w:eastAsia="Times New Roman" w:cs="Arial" w:ascii="Arial" w:hAnsi="Arial"/>
                <w:b w:val="false"/>
                <w:bCs w:val="false"/>
                <w:color w:val="auto"/>
                <w:kern w:val="0"/>
                <w:sz w:val="20"/>
                <w:szCs w:val="20"/>
                <w:lang w:val="lt-LT" w:eastAsia="en-US" w:bidi="ar-SA"/>
              </w:rPr>
              <w:t>1000x150x200 mm</w:t>
            </w:r>
          </w:p>
          <w:p>
            <w:pPr>
              <w:pStyle w:val="Normal"/>
              <w:widowControl/>
              <w:suppressAutoHyphens w:val="true"/>
              <w:spacing w:before="0" w:after="0"/>
              <w:jc w:val="left"/>
              <w:rPr>
                <w:color w:val="auto"/>
                <w:sz w:val="22"/>
              </w:rPr>
            </w:pPr>
            <w:r>
              <w:rPr>
                <w:rFonts w:eastAsia="Times New Roman" w:cs="Arial" w:ascii="Arial" w:hAnsi="Arial"/>
                <w:b/>
                <w:bCs/>
                <w:color w:val="auto"/>
                <w:kern w:val="0"/>
                <w:sz w:val="20"/>
                <w:szCs w:val="20"/>
                <w:lang w:val="lt-LT" w:eastAsia="en-US" w:bidi="ar-SA"/>
              </w:rPr>
              <w:t>Spalva:</w:t>
            </w:r>
            <w:r>
              <w:rPr>
                <w:rFonts w:eastAsia="Times New Roman" w:cs="Arial" w:ascii="Arial" w:hAnsi="Arial"/>
                <w:b w:val="false"/>
                <w:bCs w:val="false"/>
                <w:color w:val="auto"/>
                <w:kern w:val="0"/>
                <w:sz w:val="20"/>
                <w:szCs w:val="20"/>
                <w:lang w:val="lt-LT" w:eastAsia="en-US" w:bidi="ar-SA"/>
              </w:rPr>
              <w:t xml:space="preserve"> Pilka</w:t>
            </w:r>
          </w:p>
          <w:p>
            <w:pPr>
              <w:pStyle w:val="Normal"/>
              <w:suppressAutoHyphens w:val="true"/>
              <w:spacing w:before="0" w:after="0"/>
              <w:jc w:val="left"/>
              <w:rPr>
                <w:color w:val="auto"/>
                <w:sz w:val="22"/>
              </w:rPr>
            </w:pPr>
            <w:r>
              <w:rPr>
                <w:rFonts w:eastAsia="Times New Roman" w:cs="Arial" w:ascii="Arial" w:hAnsi="Arial"/>
                <w:b/>
                <w:bCs/>
                <w:color w:val="auto"/>
                <w:kern w:val="0"/>
                <w:sz w:val="20"/>
                <w:szCs w:val="20"/>
                <w:lang w:val="lt-LT" w:eastAsia="en-US" w:bidi="ar-SA"/>
              </w:rPr>
              <w:t xml:space="preserve">Aprašas: </w:t>
            </w:r>
            <w:r>
              <w:rPr>
                <w:rFonts w:cs="Arial" w:ascii="Arial" w:hAnsi="Arial"/>
                <w:color w:val="000000"/>
                <w:sz w:val="20"/>
                <w:szCs w:val="20"/>
                <w:shd w:fill="auto" w:val="clear"/>
              </w:rPr>
              <w:t>Pjauto akmens bortas. Visi matomi paviršiai – deginti. Magminės intrūzinės kilmės. Susideda iš smulkių ir vidutinių (1-3 mm) dalelių; struktūra kristalinė (granitinė), vietomis šiek tiek orientuota. Uoliena kompaktiška, neporinga. Balto granito petrografinė analizė: sudarytas iš baltų ir šviesiai pilkų feldšpatų (60-70 %), pilko kvarco (20-30 %) ir 10-15 % juodo žėručio (biotito).</w:t>
            </w:r>
          </w:p>
          <w:p>
            <w:pPr>
              <w:pStyle w:val="Normal"/>
              <w:suppressAutoHyphens w:val="true"/>
              <w:spacing w:before="0" w:after="0"/>
              <w:jc w:val="left"/>
              <w:rPr>
                <w:color w:val="auto"/>
                <w:sz w:val="22"/>
              </w:rPr>
            </w:pPr>
            <w:r>
              <w:rPr>
                <w:rFonts w:cs="Arial" w:ascii="Arial" w:hAnsi="Arial"/>
                <w:color w:val="000000"/>
                <w:sz w:val="20"/>
                <w:szCs w:val="20"/>
                <w:shd w:fill="auto" w:val="clear"/>
              </w:rPr>
              <w:t>Pateikiamas petrografinės analizės aprašas pagal LST EN 12407.</w:t>
            </w:r>
          </w:p>
        </w:tc>
      </w:tr>
      <w:tr>
        <w:trPr>
          <w:trHeight w:val="2268" w:hRule="atLeast"/>
          <w:cantSplit w:val="true"/>
        </w:trPr>
        <w:tc>
          <w:tcPr>
            <w:tcW w:w="1184" w:type="dxa"/>
            <w:tcBorders>
              <w:top w:val="nil"/>
            </w:tcBorders>
            <w:vAlign w:val="center"/>
          </w:tcPr>
          <w:p>
            <w:pPr>
              <w:pStyle w:val="Normal"/>
              <w:widowControl/>
              <w:suppressAutoHyphens w:val="true"/>
              <w:spacing w:before="0" w:after="0"/>
              <w:jc w:val="center"/>
              <w:rPr>
                <w:color w:val="auto"/>
                <w:sz w:val="22"/>
              </w:rPr>
            </w:pPr>
            <w:r>
              <w:rPr>
                <w:rFonts w:ascii="Arial" w:hAnsi="Arial"/>
                <w:color w:val="000000"/>
                <w:sz w:val="20"/>
                <w:szCs w:val="20"/>
                <w:shd w:fill="auto" w:val="clear"/>
              </w:rPr>
              <w:t>BM-01</w:t>
            </w:r>
          </w:p>
        </w:tc>
        <w:tc>
          <w:tcPr>
            <w:tcW w:w="3386" w:type="dxa"/>
            <w:tcBorders>
              <w:top w:val="nil"/>
            </w:tcBorders>
            <w:vAlign w:val="center"/>
          </w:tcPr>
          <w:p>
            <w:pPr>
              <w:pStyle w:val="Normal"/>
              <w:widowControl/>
              <w:suppressAutoHyphens w:val="true"/>
              <w:spacing w:before="0" w:after="0"/>
              <w:jc w:val="center"/>
              <w:rPr>
                <w:color w:val="auto"/>
              </w:rPr>
            </w:pPr>
            <w:r>
              <w:rPr>
                <w:sz w:val="22"/>
              </w:rPr>
              <w:drawing>
                <wp:inline distT="0" distB="0" distL="0" distR="0">
                  <wp:extent cx="1979930" cy="1032510"/>
                  <wp:effectExtent l="0" t="0" r="0" b="0"/>
                  <wp:docPr id="27"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78"/>
                          <pic:cNvPicPr>
                            <a:picLocks noChangeAspect="1" noChangeArrowheads="1"/>
                          </pic:cNvPicPr>
                        </pic:nvPicPr>
                        <pic:blipFill>
                          <a:blip r:embed="rId27"/>
                          <a:stretch>
                            <a:fillRect/>
                          </a:stretch>
                        </pic:blipFill>
                        <pic:spPr bwMode="auto">
                          <a:xfrm>
                            <a:off x="0" y="0"/>
                            <a:ext cx="1979930" cy="1032510"/>
                          </a:xfrm>
                          <a:prstGeom prst="rect">
                            <a:avLst/>
                          </a:prstGeom>
                          <a:noFill/>
                        </pic:spPr>
                      </pic:pic>
                    </a:graphicData>
                  </a:graphic>
                </wp:inline>
              </w:drawing>
            </w:r>
          </w:p>
        </w:tc>
        <w:tc>
          <w:tcPr>
            <w:tcW w:w="5632" w:type="dxa"/>
            <w:tcBorders>
              <w:top w:val="nil"/>
            </w:tcBorders>
          </w:tcPr>
          <w:p>
            <w:pPr>
              <w:pStyle w:val="Normal"/>
              <w:suppressAutoHyphens w:val="true"/>
              <w:spacing w:before="0" w:after="0"/>
              <w:jc w:val="left"/>
              <w:rPr>
                <w:color w:val="auto"/>
                <w:sz w:val="22"/>
              </w:rPr>
            </w:pPr>
            <w:r>
              <w:rPr>
                <w:rFonts w:cs="Arial" w:ascii="Arial" w:hAnsi="Arial"/>
                <w:b/>
                <w:bCs/>
                <w:color w:val="000000"/>
                <w:sz w:val="20"/>
                <w:szCs w:val="20"/>
                <w:shd w:fill="auto" w:val="clear"/>
              </w:rPr>
              <w:t>Metalinis vejos bortas</w:t>
            </w:r>
          </w:p>
          <w:p>
            <w:pPr>
              <w:pStyle w:val="Normal"/>
              <w:suppressAutoHyphens w:val="true"/>
              <w:spacing w:before="0" w:after="0"/>
              <w:jc w:val="left"/>
              <w:rPr>
                <w:color w:val="auto"/>
                <w:sz w:val="22"/>
              </w:rPr>
            </w:pPr>
            <w:r>
              <w:rPr>
                <w:rFonts w:cs="Arial" w:ascii="Arial" w:hAnsi="Arial"/>
                <w:b/>
                <w:bCs/>
                <w:color w:val="000000"/>
                <w:sz w:val="20"/>
                <w:szCs w:val="20"/>
                <w:shd w:fill="auto" w:val="clear"/>
              </w:rPr>
              <w:t>Matmenys:</w:t>
            </w:r>
            <w:r>
              <w:rPr>
                <w:rFonts w:cs="Arial" w:ascii="Arial" w:hAnsi="Arial"/>
                <w:b w:val="false"/>
                <w:bCs w:val="false"/>
                <w:color w:val="000000"/>
                <w:sz w:val="20"/>
                <w:szCs w:val="20"/>
                <w:shd w:fill="auto" w:val="clear"/>
              </w:rPr>
              <w:t xml:space="preserve"> Gaminio ilgis – 3000x2x150 mm;</w:t>
            </w:r>
          </w:p>
          <w:p>
            <w:pPr>
              <w:pStyle w:val="Normal"/>
              <w:suppressAutoHyphens w:val="true"/>
              <w:spacing w:before="0" w:after="0"/>
              <w:jc w:val="left"/>
              <w:rPr>
                <w:color w:val="auto"/>
                <w:sz w:val="22"/>
              </w:rPr>
            </w:pPr>
            <w:r>
              <w:rPr>
                <w:rFonts w:cs="Arial" w:ascii="Arial" w:hAnsi="Arial"/>
                <w:b/>
                <w:bCs/>
                <w:color w:val="000000"/>
                <w:sz w:val="20"/>
                <w:szCs w:val="20"/>
                <w:shd w:fill="auto" w:val="clear"/>
              </w:rPr>
              <w:t>Aprašas:</w:t>
            </w:r>
            <w:r>
              <w:rPr>
                <w:rFonts w:cs="Arial" w:ascii="Arial" w:hAnsi="Arial"/>
                <w:b w:val="false"/>
                <w:bCs w:val="false"/>
                <w:color w:val="000000"/>
                <w:sz w:val="20"/>
                <w:szCs w:val="20"/>
                <w:shd w:fill="auto" w:val="clear"/>
              </w:rPr>
              <w:t xml:space="preserve"> tai aplinkos veiksniam atsparaus konstrukcinio plieno gaminiai. Tokio tipo plienams būdingas didelis atsparumas klimatinei korozijai. Ši savybė išgaunama į plieną įmaišant nedidelius kiekius chromo, vario ir nikelio. Nuolat keičiantis oro sąlygoms (drėkstant, džiūstant) plieno paviršiuje susidaro apsauginis patinos sluoksnis, kuris tampa jo apsaugine danga. Gaminiai yra apdirbami norint išgauti rūdžių efektą. Korteno bortas tvirtinamas cinkuoto plieno smeigėmis, 500 mm ilgio (gylio). Montavimas – 500 mm ilgio cinkuotos metalo smeigės, rankiniu būdu sukalamos į žemę. Sukalus smeiges borteliai tvirtinami cinkuotais varžtais prie smeigių.</w:t>
            </w:r>
          </w:p>
        </w:tc>
      </w:tr>
    </w:tbl>
    <w:p>
      <w:pPr>
        <w:pStyle w:val="Caption"/>
        <w:keepNext w:val="true"/>
        <w:rPr>
          <w:color w:val="auto"/>
          <w:sz w:val="22"/>
          <w:szCs w:val="22"/>
        </w:rPr>
      </w:pPr>
      <w:r>
        <w:rPr>
          <w:color w:val="auto"/>
          <w:sz w:val="22"/>
          <w:szCs w:val="22"/>
        </w:rPr>
      </w:r>
    </w:p>
    <w:p>
      <w:pPr>
        <w:pStyle w:val="Paprtekstas"/>
        <w:rPr>
          <w:color w:val="auto"/>
          <w:sz w:val="22"/>
          <w:szCs w:val="22"/>
        </w:rPr>
      </w:pPr>
      <w:r>
        <w:rPr>
          <w:color w:val="auto"/>
          <w:sz w:val="22"/>
          <w:szCs w:val="22"/>
        </w:rPr>
      </w:r>
    </w:p>
    <w:p>
      <w:pPr>
        <w:pStyle w:val="Caption"/>
        <w:keepNext w:val="true"/>
        <w:rPr>
          <w:color w:val="auto"/>
        </w:rPr>
      </w:pPr>
      <w:r>
        <w:rPr>
          <w:color w:val="auto"/>
        </w:rPr>
        <w:t>3.7.  Natūralaus akmens fiziniai ir techniniai parametrai</w:t>
      </w:r>
    </w:p>
    <w:tbl>
      <w:tblPr>
        <w:tblW w:w="10650" w:type="dxa"/>
        <w:jc w:val="left"/>
        <w:tblInd w:w="-186" w:type="dxa"/>
        <w:tblLayout w:type="fixed"/>
        <w:tblCellMar>
          <w:top w:w="0" w:type="dxa"/>
          <w:left w:w="108" w:type="dxa"/>
          <w:bottom w:w="0" w:type="dxa"/>
          <w:right w:w="108" w:type="dxa"/>
        </w:tblCellMar>
      </w:tblPr>
      <w:tblGrid>
        <w:gridCol w:w="726"/>
        <w:gridCol w:w="1019"/>
        <w:gridCol w:w="5279"/>
        <w:gridCol w:w="3626"/>
      </w:tblGrid>
      <w:tr>
        <w:trPr>
          <w:tblHeader w:val="true"/>
          <w:trHeight w:val="412" w:hRule="atLeast"/>
          <w:cantSplit w:val="true"/>
        </w:trPr>
        <w:tc>
          <w:tcPr>
            <w:tcW w:w="726" w:type="dxa"/>
            <w:tcBorders>
              <w:top w:val="single" w:sz="4" w:space="0" w:color="000000"/>
              <w:left w:val="single" w:sz="4" w:space="0" w:color="000000"/>
              <w:bottom w:val="single" w:sz="4" w:space="0" w:color="000000"/>
            </w:tcBorders>
            <w:vAlign w:val="center"/>
          </w:tcPr>
          <w:p>
            <w:pPr>
              <w:pStyle w:val="Normal"/>
              <w:snapToGrid w:val="false"/>
              <w:spacing w:lineRule="auto" w:line="276" w:before="0" w:after="200"/>
              <w:ind w:left="-57" w:right="-57"/>
              <w:jc w:val="center"/>
              <w:rPr>
                <w:color w:val="auto"/>
              </w:rPr>
            </w:pPr>
            <w:r>
              <w:rPr>
                <w:rFonts w:ascii="Arial" w:hAnsi="Arial"/>
                <w:color w:val="000000"/>
                <w:sz w:val="20"/>
                <w:szCs w:val="20"/>
                <w:shd w:fill="auto" w:val="clear"/>
              </w:rPr>
              <w:t>Eil. Nr.</w:t>
            </w:r>
          </w:p>
        </w:tc>
        <w:tc>
          <w:tcPr>
            <w:tcW w:w="1019" w:type="dxa"/>
            <w:tcBorders>
              <w:top w:val="single" w:sz="4" w:space="0" w:color="000000"/>
              <w:left w:val="single" w:sz="4" w:space="0" w:color="000000"/>
              <w:bottom w:val="single" w:sz="4" w:space="0" w:color="000000"/>
            </w:tcBorders>
            <w:vAlign w:val="center"/>
          </w:tcPr>
          <w:p>
            <w:pPr>
              <w:pStyle w:val="Normal"/>
              <w:snapToGrid w:val="false"/>
              <w:spacing w:lineRule="auto" w:line="276" w:before="0" w:after="200"/>
              <w:ind w:left="-113" w:right="-113"/>
              <w:jc w:val="center"/>
              <w:rPr>
                <w:color w:val="auto"/>
              </w:rPr>
            </w:pPr>
            <w:r>
              <w:rPr>
                <w:rFonts w:ascii="Arial" w:hAnsi="Arial"/>
                <w:color w:val="000000"/>
                <w:sz w:val="20"/>
                <w:szCs w:val="20"/>
                <w:shd w:fill="auto" w:val="clear"/>
              </w:rPr>
              <w:t>Akmuo</w:t>
            </w:r>
          </w:p>
        </w:tc>
        <w:tc>
          <w:tcPr>
            <w:tcW w:w="5279" w:type="dxa"/>
            <w:tcBorders>
              <w:top w:val="single" w:sz="4" w:space="0" w:color="000000"/>
              <w:left w:val="single" w:sz="4" w:space="0" w:color="000000"/>
              <w:bottom w:val="single" w:sz="4" w:space="0" w:color="000000"/>
            </w:tcBorders>
            <w:vAlign w:val="center"/>
          </w:tcPr>
          <w:p>
            <w:pPr>
              <w:pStyle w:val="Normal"/>
              <w:snapToGrid w:val="false"/>
              <w:spacing w:lineRule="auto" w:line="276" w:before="0" w:after="200"/>
              <w:jc w:val="center"/>
              <w:rPr>
                <w:color w:val="auto"/>
              </w:rPr>
            </w:pPr>
            <w:r>
              <w:rPr>
                <w:rFonts w:ascii="Arial" w:hAnsi="Arial"/>
                <w:color w:val="000000"/>
                <w:sz w:val="20"/>
                <w:szCs w:val="20"/>
                <w:shd w:fill="auto" w:val="clear"/>
              </w:rPr>
              <w:t>Fiziniai ir techniniai parametrai</w:t>
            </w:r>
          </w:p>
        </w:tc>
        <w:tc>
          <w:tcPr>
            <w:tcW w:w="3626" w:type="dxa"/>
            <w:tcBorders>
              <w:top w:val="single" w:sz="4" w:space="0" w:color="000000"/>
              <w:left w:val="single" w:sz="4" w:space="0" w:color="000000"/>
              <w:bottom w:val="single" w:sz="4" w:space="0" w:color="000000"/>
              <w:right w:val="single" w:sz="4" w:space="0" w:color="000000"/>
            </w:tcBorders>
            <w:vAlign w:val="center"/>
          </w:tcPr>
          <w:p>
            <w:pPr>
              <w:pStyle w:val="Normal"/>
              <w:snapToGrid w:val="false"/>
              <w:spacing w:lineRule="auto" w:line="276" w:before="0" w:after="200"/>
              <w:jc w:val="center"/>
              <w:rPr>
                <w:color w:val="auto"/>
              </w:rPr>
            </w:pPr>
            <w:r>
              <w:rPr>
                <w:rFonts w:ascii="Arial" w:hAnsi="Arial"/>
                <w:color w:val="000000"/>
                <w:sz w:val="20"/>
                <w:szCs w:val="20"/>
                <w:shd w:fill="auto" w:val="clear"/>
              </w:rPr>
              <w:t>Pavyzdys</w:t>
            </w:r>
          </w:p>
        </w:tc>
      </w:tr>
      <w:tr>
        <w:trPr>
          <w:tblHeader w:val="true"/>
          <w:cantSplit w:val="true"/>
        </w:trPr>
        <w:tc>
          <w:tcPr>
            <w:tcW w:w="726" w:type="dxa"/>
            <w:tcBorders>
              <w:left w:val="single" w:sz="4" w:space="0" w:color="000000"/>
              <w:bottom w:val="single" w:sz="4" w:space="0" w:color="000000"/>
            </w:tcBorders>
          </w:tcPr>
          <w:p>
            <w:pPr>
              <w:pStyle w:val="Normal"/>
              <w:snapToGrid w:val="false"/>
              <w:spacing w:lineRule="auto" w:line="276" w:before="0" w:after="200"/>
              <w:jc w:val="center"/>
              <w:rPr>
                <w:color w:val="auto"/>
              </w:rPr>
            </w:pPr>
            <w:r>
              <w:rPr>
                <w:rFonts w:ascii="Arial" w:hAnsi="Arial"/>
                <w:color w:val="000000"/>
                <w:sz w:val="20"/>
                <w:szCs w:val="20"/>
                <w:shd w:fill="auto" w:val="clear"/>
              </w:rPr>
              <w:t>1</w:t>
            </w:r>
          </w:p>
        </w:tc>
        <w:tc>
          <w:tcPr>
            <w:tcW w:w="1019" w:type="dxa"/>
            <w:tcBorders>
              <w:left w:val="single" w:sz="4" w:space="0" w:color="000000"/>
              <w:bottom w:val="single" w:sz="4" w:space="0" w:color="000000"/>
            </w:tcBorders>
          </w:tcPr>
          <w:p>
            <w:pPr>
              <w:pStyle w:val="Normal"/>
              <w:snapToGrid w:val="false"/>
              <w:spacing w:lineRule="auto" w:line="276" w:before="0" w:after="200"/>
              <w:jc w:val="center"/>
              <w:rPr>
                <w:color w:val="auto"/>
              </w:rPr>
            </w:pPr>
            <w:r>
              <w:rPr>
                <w:rFonts w:ascii="Arial" w:hAnsi="Arial"/>
                <w:color w:val="000000"/>
                <w:sz w:val="20"/>
                <w:szCs w:val="20"/>
                <w:shd w:fill="auto" w:val="clear"/>
              </w:rPr>
              <w:t>2</w:t>
            </w:r>
          </w:p>
        </w:tc>
        <w:tc>
          <w:tcPr>
            <w:tcW w:w="5279" w:type="dxa"/>
            <w:tcBorders>
              <w:left w:val="single" w:sz="4" w:space="0" w:color="000000"/>
              <w:bottom w:val="single" w:sz="4" w:space="0" w:color="000000"/>
            </w:tcBorders>
          </w:tcPr>
          <w:p>
            <w:pPr>
              <w:pStyle w:val="Normal"/>
              <w:snapToGrid w:val="false"/>
              <w:spacing w:lineRule="auto" w:line="276" w:before="0" w:after="200"/>
              <w:jc w:val="center"/>
              <w:rPr>
                <w:color w:val="auto"/>
              </w:rPr>
            </w:pPr>
            <w:r>
              <w:rPr>
                <w:rFonts w:ascii="Arial" w:hAnsi="Arial"/>
                <w:color w:val="000000"/>
                <w:sz w:val="20"/>
                <w:szCs w:val="20"/>
                <w:shd w:fill="auto" w:val="clear"/>
              </w:rPr>
              <w:t>3</w:t>
            </w:r>
          </w:p>
        </w:tc>
        <w:tc>
          <w:tcPr>
            <w:tcW w:w="3626" w:type="dxa"/>
            <w:tcBorders>
              <w:left w:val="single" w:sz="4" w:space="0" w:color="000000"/>
              <w:bottom w:val="single" w:sz="4" w:space="0" w:color="000000"/>
              <w:right w:val="single" w:sz="4" w:space="0" w:color="000000"/>
            </w:tcBorders>
          </w:tcPr>
          <w:p>
            <w:pPr>
              <w:pStyle w:val="Normal"/>
              <w:snapToGrid w:val="false"/>
              <w:spacing w:lineRule="auto" w:line="276" w:before="0" w:after="200"/>
              <w:jc w:val="center"/>
              <w:rPr>
                <w:color w:val="auto"/>
              </w:rPr>
            </w:pPr>
            <w:r>
              <w:rPr>
                <w:rFonts w:ascii="Arial" w:hAnsi="Arial"/>
                <w:color w:val="000000"/>
                <w:sz w:val="20"/>
                <w:szCs w:val="20"/>
                <w:shd w:fill="auto" w:val="clear"/>
              </w:rPr>
              <w:t>4</w:t>
            </w:r>
          </w:p>
        </w:tc>
      </w:tr>
      <w:tr>
        <w:trPr>
          <w:trHeight w:val="12364" w:hRule="atLeast"/>
          <w:cantSplit w:val="true"/>
        </w:trPr>
        <w:tc>
          <w:tcPr>
            <w:tcW w:w="726" w:type="dxa"/>
            <w:tcBorders>
              <w:left w:val="single" w:sz="4" w:space="0" w:color="000000"/>
              <w:bottom w:val="single" w:sz="4" w:space="0" w:color="000000"/>
            </w:tcBorders>
          </w:tcPr>
          <w:p>
            <w:pPr>
              <w:pStyle w:val="Normal"/>
              <w:snapToGrid w:val="false"/>
              <w:spacing w:lineRule="auto" w:line="276" w:before="0" w:after="200"/>
              <w:jc w:val="center"/>
              <w:rPr>
                <w:color w:val="auto"/>
              </w:rPr>
            </w:pPr>
            <w:r>
              <w:rPr>
                <w:rFonts w:ascii="Arial" w:hAnsi="Arial"/>
                <w:color w:val="000000"/>
                <w:sz w:val="20"/>
                <w:szCs w:val="20"/>
                <w:shd w:fill="auto" w:val="clear"/>
              </w:rPr>
              <w:t>1.</w:t>
            </w:r>
          </w:p>
        </w:tc>
        <w:tc>
          <w:tcPr>
            <w:tcW w:w="1019" w:type="dxa"/>
            <w:tcBorders>
              <w:left w:val="single" w:sz="4" w:space="0" w:color="000000"/>
              <w:bottom w:val="single" w:sz="4" w:space="0" w:color="000000"/>
            </w:tcBorders>
          </w:tcPr>
          <w:p>
            <w:pPr>
              <w:pStyle w:val="Normal"/>
              <w:snapToGrid w:val="false"/>
              <w:spacing w:lineRule="auto" w:line="276"/>
              <w:ind w:left="-57" w:right="-57"/>
              <w:jc w:val="center"/>
              <w:rPr>
                <w:color w:val="auto"/>
              </w:rPr>
            </w:pPr>
            <w:r>
              <w:rPr>
                <w:rFonts w:ascii="Arial" w:hAnsi="Arial"/>
                <w:b/>
                <w:bCs/>
                <w:color w:val="000000"/>
                <w:sz w:val="20"/>
                <w:szCs w:val="20"/>
                <w:shd w:fill="auto" w:val="clear"/>
              </w:rPr>
              <w:t>Diabazas</w:t>
            </w:r>
          </w:p>
          <w:p>
            <w:pPr>
              <w:pStyle w:val="Normal"/>
              <w:snapToGrid w:val="false"/>
              <w:spacing w:lineRule="auto" w:line="276" w:before="0" w:after="200"/>
              <w:ind w:left="-57" w:right="-57"/>
              <w:jc w:val="center"/>
              <w:rPr>
                <w:color w:val="auto"/>
              </w:rPr>
            </w:pPr>
            <w:r>
              <w:rPr>
                <w:rFonts w:ascii="Arial" w:hAnsi="Arial"/>
                <w:b/>
                <w:bCs/>
                <w:color w:val="000000"/>
                <w:sz w:val="20"/>
                <w:szCs w:val="20"/>
                <w:shd w:fill="auto" w:val="clear"/>
              </w:rPr>
              <w:t>(spalva- pilka)</w:t>
            </w:r>
          </w:p>
        </w:tc>
        <w:tc>
          <w:tcPr>
            <w:tcW w:w="5279" w:type="dxa"/>
            <w:tcBorders>
              <w:left w:val="single" w:sz="4" w:space="0" w:color="000000"/>
              <w:bottom w:val="single" w:sz="4" w:space="0" w:color="000000"/>
            </w:tcBorders>
          </w:tcPr>
          <w:p>
            <w:pPr>
              <w:pStyle w:val="Paprtekstas"/>
              <w:widowControl/>
              <w:suppressAutoHyphens w:val="true"/>
              <w:bidi w:val="0"/>
              <w:spacing w:lineRule="auto" w:line="276"/>
              <w:rPr>
                <w:sz w:val="18"/>
                <w:szCs w:val="18"/>
              </w:rPr>
            </w:pPr>
            <w:r>
              <w:rPr>
                <w:rFonts w:eastAsia="Times New Roman" w:cs="Times New Roman"/>
                <w:color w:val="auto"/>
                <w:kern w:val="0"/>
                <w:sz w:val="18"/>
                <w:szCs w:val="18"/>
                <w:lang w:val="lt-LT" w:eastAsia="en-US" w:bidi="ar-SA"/>
              </w:rPr>
              <w:t>Aprašas: magminės subvulkaninės kilmės. Susideda iš smulkių (0,1-1 mm) ir labai smulkių (&lt;0,1 mm) dalelių: struktūra diabazinė, vietomis porfyriška (smulkiagrūdėje masėje matosi stambesni grūdeliai). Uoliena kompaktiška neporinga. Tamsiai pilko, smulkiagrūdžio – vidutiniagrūdžio diabazo petrografinė analizė: uoliena sudaryta iš 45-55 % smulkių pilko feldšpato plagioklazo grūdelių, 45-55 % tamsiai pilkų ir juodų pirokseno dalelių (vietomis nepilnai kristalinių). Yra labai retų metalinio blizgelio magnetito ir aukso blizgesio pirito grūdelių.</w:t>
            </w:r>
          </w:p>
          <w:p>
            <w:pPr>
              <w:pStyle w:val="Paprtekstas"/>
              <w:widowControl/>
              <w:suppressAutoHyphens w:val="true"/>
              <w:bidi w:val="0"/>
              <w:spacing w:lineRule="auto" w:line="276"/>
              <w:rPr>
                <w:sz w:val="18"/>
                <w:szCs w:val="18"/>
              </w:rPr>
            </w:pPr>
            <w:r>
              <w:rPr>
                <w:rFonts w:eastAsia="Times New Roman" w:cs="Times New Roman"/>
                <w:color w:val="auto"/>
                <w:kern w:val="0"/>
                <w:sz w:val="18"/>
                <w:szCs w:val="18"/>
                <w:lang w:val="lt-LT" w:eastAsia="en-US" w:bidi="ar-SA"/>
              </w:rPr>
              <w:t>Pateikiamas petrografinės analizės aprašas pagal LST EN 12407.</w:t>
            </w:r>
          </w:p>
          <w:p>
            <w:pPr>
              <w:pStyle w:val="Paprtekstas"/>
              <w:widowControl/>
              <w:suppressAutoHyphens w:val="true"/>
              <w:bidi w:val="0"/>
              <w:spacing w:lineRule="auto" w:line="276"/>
              <w:rPr>
                <w:sz w:val="18"/>
                <w:szCs w:val="18"/>
              </w:rPr>
            </w:pPr>
            <w:r>
              <w:rPr>
                <w:rFonts w:eastAsia="Times New Roman" w:cs="Times New Roman"/>
                <w:color w:val="auto"/>
                <w:kern w:val="0"/>
                <w:sz w:val="18"/>
                <w:szCs w:val="18"/>
                <w:lang w:val="lt-LT" w:eastAsia="en-US" w:bidi="ar-SA"/>
              </w:rPr>
              <w:t>Plokštės / trinkelės po galutinio paviršiaus apdirbimo deginant:</w:t>
            </w:r>
          </w:p>
          <w:p>
            <w:pPr>
              <w:pStyle w:val="Paprtekstas"/>
              <w:widowControl/>
              <w:suppressAutoHyphens w:val="true"/>
              <w:bidi w:val="0"/>
              <w:spacing w:lineRule="auto" w:line="276"/>
              <w:rPr>
                <w:sz w:val="18"/>
                <w:szCs w:val="18"/>
              </w:rPr>
            </w:pPr>
            <w:r>
              <w:rPr>
                <w:rFonts w:eastAsia="Times New Roman" w:cs="Times New Roman"/>
                <w:color w:val="auto"/>
                <w:kern w:val="0"/>
                <w:sz w:val="18"/>
                <w:szCs w:val="18"/>
                <w:lang w:val="lt-LT" w:eastAsia="en-US" w:bidi="ar-SA"/>
              </w:rPr>
              <w:t>Vandens įgėris – ≤ 0,1 % (dižiausioji tikėtina vertė);</w:t>
            </w:r>
          </w:p>
          <w:p>
            <w:pPr>
              <w:pStyle w:val="Paprtekstas"/>
              <w:widowControl/>
              <w:suppressAutoHyphens w:val="true"/>
              <w:bidi w:val="0"/>
              <w:spacing w:lineRule="auto" w:line="276"/>
              <w:rPr>
                <w:sz w:val="18"/>
                <w:szCs w:val="18"/>
              </w:rPr>
            </w:pPr>
            <w:r>
              <w:rPr>
                <w:rFonts w:eastAsia="Times New Roman" w:cs="Times New Roman"/>
                <w:color w:val="auto"/>
                <w:kern w:val="0"/>
                <w:sz w:val="18"/>
                <w:szCs w:val="18"/>
                <w:lang w:val="lt-LT" w:eastAsia="en-US" w:bidi="ar-SA"/>
              </w:rPr>
              <w:t>Gniuždymo stipris – ≥ 240 MPa (mažiausioji tikėtina vertė);</w:t>
            </w:r>
          </w:p>
          <w:p>
            <w:pPr>
              <w:pStyle w:val="Paprtekstas"/>
              <w:widowControl/>
              <w:suppressAutoHyphens w:val="true"/>
              <w:bidi w:val="0"/>
              <w:spacing w:lineRule="auto" w:line="276"/>
              <w:rPr>
                <w:sz w:val="18"/>
                <w:szCs w:val="18"/>
              </w:rPr>
            </w:pPr>
            <w:r>
              <w:rPr>
                <w:rFonts w:eastAsia="Times New Roman" w:cs="Times New Roman"/>
                <w:color w:val="auto"/>
                <w:kern w:val="0"/>
                <w:sz w:val="18"/>
                <w:szCs w:val="18"/>
                <w:lang w:val="lt-LT" w:eastAsia="en-US" w:bidi="ar-SA"/>
              </w:rPr>
              <w:t>Lenkimo stipris* – ≥ 16 MPa (mažiausioji tikėtina vertė);</w:t>
            </w:r>
          </w:p>
          <w:p>
            <w:pPr>
              <w:pStyle w:val="Paprtekstas"/>
              <w:widowControl/>
              <w:suppressAutoHyphens w:val="true"/>
              <w:bidi w:val="0"/>
              <w:spacing w:lineRule="auto" w:line="276"/>
              <w:rPr>
                <w:sz w:val="18"/>
                <w:szCs w:val="18"/>
              </w:rPr>
            </w:pPr>
            <w:r>
              <w:rPr>
                <w:rFonts w:eastAsia="Times New Roman" w:cs="Times New Roman"/>
                <w:color w:val="auto"/>
                <w:kern w:val="0"/>
                <w:sz w:val="18"/>
                <w:szCs w:val="18"/>
                <w:lang w:val="lt-LT" w:eastAsia="en-US" w:bidi="ar-SA"/>
              </w:rPr>
              <w:t>Atsparumas dilimui ≤ 20 mm (didžiausia tikėtina vertė).</w:t>
            </w:r>
          </w:p>
          <w:p>
            <w:pPr>
              <w:pStyle w:val="Paprtekstas"/>
              <w:widowControl/>
              <w:suppressAutoHyphens w:val="true"/>
              <w:bidi w:val="0"/>
              <w:spacing w:lineRule="auto" w:line="276"/>
              <w:rPr>
                <w:sz w:val="18"/>
                <w:szCs w:val="18"/>
              </w:rPr>
            </w:pPr>
            <w:r>
              <w:rPr>
                <w:rFonts w:eastAsia="Times New Roman" w:cs="Times New Roman"/>
                <w:color w:val="auto"/>
                <w:kern w:val="0"/>
                <w:sz w:val="18"/>
                <w:szCs w:val="18"/>
                <w:lang w:val="lt-LT" w:eastAsia="en-US" w:bidi="ar-SA"/>
              </w:rPr>
              <w:t>Atsparumas šalčiui (veikiant druskai nuo</w:t>
            </w:r>
          </w:p>
          <w:p>
            <w:pPr>
              <w:pStyle w:val="Paprtekstas"/>
              <w:widowControl/>
              <w:suppressAutoHyphens w:val="true"/>
              <w:bidi w:val="0"/>
              <w:spacing w:lineRule="auto" w:line="276"/>
              <w:rPr>
                <w:sz w:val="18"/>
                <w:szCs w:val="18"/>
              </w:rPr>
            </w:pPr>
            <w:r>
              <w:rPr>
                <w:rFonts w:eastAsia="Times New Roman" w:cs="Times New Roman"/>
                <w:color w:val="auto"/>
                <w:kern w:val="0"/>
                <w:sz w:val="18"/>
                <w:szCs w:val="18"/>
                <w:lang w:val="lt-LT" w:eastAsia="en-US" w:bidi="ar-SA"/>
              </w:rPr>
              <w:t>apledėjimo) – po ≥ 200 ciklų (įmirkant bandinius druskos tirpale) leidžiamas lenkimo stiprio sumažėjimas ≤ 5 %, o masės nuostoliai ≤ 3 %.</w:t>
            </w:r>
          </w:p>
          <w:p>
            <w:pPr>
              <w:pStyle w:val="Paprtekstas"/>
              <w:widowControl/>
              <w:suppressAutoHyphens w:val="true"/>
              <w:bidi w:val="0"/>
              <w:spacing w:lineRule="auto" w:line="276"/>
              <w:rPr>
                <w:sz w:val="18"/>
                <w:szCs w:val="18"/>
              </w:rPr>
            </w:pPr>
            <w:r>
              <w:rPr>
                <w:rFonts w:eastAsia="Times New Roman" w:cs="Times New Roman"/>
                <w:color w:val="auto"/>
                <w:kern w:val="0"/>
                <w:sz w:val="18"/>
                <w:szCs w:val="18"/>
                <w:lang w:val="lt-LT" w:eastAsia="en-US" w:bidi="ar-SA"/>
              </w:rPr>
              <w:t>Pateikiamos gamintojo išduotos gaminio eksploatacinių savybių deklaracijos, parengtos pagal Europos Parlamento ir Tarybos reglamento (ES) Nr. 305/2011 III priedą, patvirtinančios gaminių atitiktį nurodytoms reikšmėms (LST EN 1341:2012, LST EN 1342:2012) kartu su Notifikuotos įstaigos arba Akredituotos laboratorijos bandymų protokolais, patvirtinančiais pateiktų Gamintojo išduotų eksploatacinių savybių deklaracijų duomenis.</w:t>
            </w:r>
          </w:p>
          <w:p>
            <w:pPr>
              <w:pStyle w:val="Paprtekstas"/>
              <w:widowControl/>
              <w:suppressAutoHyphens w:val="true"/>
              <w:bidi w:val="0"/>
              <w:spacing w:lineRule="auto" w:line="276"/>
              <w:rPr>
                <w:sz w:val="18"/>
                <w:szCs w:val="18"/>
              </w:rPr>
            </w:pPr>
            <w:r>
              <w:rPr>
                <w:rFonts w:eastAsia="Times New Roman" w:cs="Times New Roman"/>
                <w:color w:val="auto"/>
                <w:kern w:val="0"/>
                <w:sz w:val="18"/>
                <w:szCs w:val="18"/>
                <w:lang w:val="lt-LT" w:eastAsia="en-US" w:bidi="ar-SA"/>
              </w:rPr>
              <w:t>* Akmens plokščių gaminių storis parinktas remiantis LST EN 1341:2012 1 priedu.</w:t>
            </w:r>
          </w:p>
          <w:p>
            <w:pPr>
              <w:pStyle w:val="Paprtekstas"/>
              <w:widowControl/>
              <w:suppressAutoHyphens w:val="true"/>
              <w:bidi w:val="0"/>
              <w:spacing w:lineRule="auto" w:line="276"/>
              <w:rPr>
                <w:sz w:val="18"/>
                <w:szCs w:val="18"/>
              </w:rPr>
            </w:pPr>
            <w:r>
              <w:rPr>
                <w:rFonts w:eastAsia="Times New Roman" w:cs="Times New Roman"/>
                <w:color w:val="auto"/>
                <w:kern w:val="0"/>
                <w:sz w:val="18"/>
                <w:szCs w:val="18"/>
                <w:lang w:val="lt-LT" w:eastAsia="en-US" w:bidi="ar-SA"/>
              </w:rPr>
              <w:t>Skaičiavimuose priimta, kad Rf lenkimo stipris (MPa), nustatyto remiantis standartu EN 12372, mažiausioji tikėtina vertė (EL) ≥ 16 MPa.</w:t>
            </w:r>
          </w:p>
          <w:p>
            <w:pPr>
              <w:pStyle w:val="Paprtekstas"/>
              <w:widowControl/>
              <w:suppressAutoHyphens w:val="true"/>
              <w:bidi w:val="0"/>
              <w:spacing w:lineRule="auto" w:line="276" w:before="0" w:after="120"/>
              <w:rPr>
                <w:sz w:val="18"/>
                <w:szCs w:val="18"/>
              </w:rPr>
            </w:pPr>
            <w:r>
              <w:rPr>
                <w:rFonts w:eastAsia="Times New Roman" w:cs="Times New Roman"/>
                <w:color w:val="auto"/>
                <w:kern w:val="0"/>
                <w:sz w:val="18"/>
                <w:szCs w:val="18"/>
                <w:lang w:val="lt-LT" w:eastAsia="en-US" w:bidi="ar-SA"/>
              </w:rPr>
              <w:t>Vadovaujantis A.2 lentele, priimta lūžio apkrova 6 klasės: minimali lūžio apkrova P – 25 kN, tipinė paskirtis – keliai ir gatvės, degalinės. Saugos koeficientas FS – 1,8.</w:t>
            </w:r>
          </w:p>
        </w:tc>
        <w:tc>
          <w:tcPr>
            <w:tcW w:w="3626" w:type="dxa"/>
            <w:tcBorders>
              <w:left w:val="single" w:sz="4" w:space="0" w:color="000000"/>
              <w:bottom w:val="single" w:sz="4" w:space="0" w:color="000000"/>
              <w:right w:val="single" w:sz="4" w:space="0" w:color="000000"/>
            </w:tcBorders>
          </w:tcPr>
          <w:p>
            <w:pPr>
              <w:pStyle w:val="Normal"/>
              <w:snapToGrid w:val="false"/>
              <w:spacing w:lineRule="auto" w:line="276"/>
              <w:jc w:val="center"/>
              <w:rPr>
                <w:rFonts w:ascii="Arial" w:hAnsi="Arial"/>
                <w:color w:val="auto"/>
                <w:sz w:val="20"/>
                <w:szCs w:val="20"/>
                <w:highlight w:val="none"/>
                <w:shd w:fill="auto" w:val="clear"/>
              </w:rPr>
            </w:pPr>
            <w:r>
              <w:rPr>
                <w:rFonts w:ascii="Arial" w:hAnsi="Arial"/>
                <w:color w:val="auto"/>
                <w:sz w:val="20"/>
                <w:szCs w:val="20"/>
                <w:shd w:fill="auto" w:val="clear"/>
              </w:rPr>
            </w:r>
          </w:p>
          <w:p>
            <w:pPr>
              <w:pStyle w:val="Normal"/>
              <w:snapToGrid w:val="false"/>
              <w:spacing w:lineRule="auto" w:line="276" w:before="0" w:after="200"/>
              <w:jc w:val="center"/>
              <w:rPr>
                <w:rFonts w:ascii="Arial" w:hAnsi="Arial"/>
                <w:color w:val="auto"/>
                <w:sz w:val="20"/>
                <w:szCs w:val="20"/>
                <w:highlight w:val="none"/>
                <w:shd w:fill="auto" w:val="clear"/>
              </w:rPr>
            </w:pPr>
            <w:r>
              <w:rPr/>
              <w:drawing>
                <wp:inline distT="0" distB="0" distL="0" distR="0">
                  <wp:extent cx="2170430" cy="1757045"/>
                  <wp:effectExtent l="0" t="0" r="0" b="0"/>
                  <wp:docPr id="28" name="Image2 Copy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2 Copy 4"/>
                          <pic:cNvPicPr>
                            <a:picLocks noChangeAspect="1" noChangeArrowheads="1"/>
                          </pic:cNvPicPr>
                        </pic:nvPicPr>
                        <pic:blipFill>
                          <a:blip r:embed="rId28"/>
                          <a:srcRect l="-602" t="-744" r="-602" b="-744"/>
                          <a:stretch>
                            <a:fillRect/>
                          </a:stretch>
                        </pic:blipFill>
                        <pic:spPr bwMode="auto">
                          <a:xfrm>
                            <a:off x="0" y="0"/>
                            <a:ext cx="2170430" cy="1757045"/>
                          </a:xfrm>
                          <a:prstGeom prst="rect">
                            <a:avLst/>
                          </a:prstGeom>
                          <a:noFill/>
                        </pic:spPr>
                      </pic:pic>
                    </a:graphicData>
                  </a:graphic>
                </wp:inline>
              </w:drawing>
            </w:r>
          </w:p>
        </w:tc>
      </w:tr>
    </w:tbl>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r>
    </w:p>
    <w:p>
      <w:pPr>
        <w:pStyle w:val="Paprtekstas"/>
        <w:widowControl/>
        <w:suppressAutoHyphens w:val="true"/>
        <w:bidi w:val="0"/>
        <w:spacing w:lineRule="auto" w:line="276"/>
        <w:rPr>
          <w:color w:val="auto"/>
        </w:rPr>
      </w:pPr>
      <w:r>
        <w:rPr>
          <w:rFonts w:eastAsia="Times New Roman" w:cs="Times New Roman"/>
          <w:b/>
          <w:bCs/>
          <w:color w:val="auto"/>
          <w:kern w:val="0"/>
          <w:sz w:val="22"/>
          <w:szCs w:val="22"/>
          <w:lang w:val="lt-LT" w:eastAsia="en-US" w:bidi="ar-SA"/>
        </w:rPr>
        <w:t>3.7.1 Akmens dangų eksploatavimas ir priežiūra</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Kad išsaugoti siūlių užpildus, įrengtas akmens dangas galima valyti tik vidutinio minkštumo šepečiais, vakuuminių įrenginių naudoti nerekomenduojama (priklausomai nuo siurbimo galios – kad įrenginiai neišsiurbtų siūlių užpildų). Valyti su metaliniais šepečiais – draudžiama. Akmens dangų siūlės turi būti nuolat pildomos atsijomis, jeigu jos prarandamos.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Akmens dangų siūlėse užaugusios žolės turi būti pašalinamos mechaniškai – išraunant arba naudojant chemines priemones, kurių sudėtyje nėra medžiagų, galinčių pažeisti akmens dangų paviršių, sukelti eroziją ar pabloginti fizines savybes.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Akmens gaminiai yra jautrūs naftos produktams (tepalams, dyzelinui ir kt.), natūraliems aliejams. Išsiliejus šiems produktams, reikia nedelsiant juos surinkti naudojant sorbentus ar kitus mišinius (valyti pagal konkrečios priemonės gamintojo specifikacijas). Kitus sunkiau šalinamus nešvarumus rekomenduojama valyti įprastu neutraliu valikliu ar cheminėmis priemonėmis, skirtomis natūralaus akmens dangų valymui. Vengti plovimo aukšto slėgio įrenginiais, kad nebūtų išplaunami siūlių užpildai.</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Valant sniegą, negalima naudoti aštrių dalių turinčių mechanizmų. Visos mechanizmų metalinės detalės, galinčios pažeisti dangą, turi būti apsaugotos gumomis, plastikais ar kitomis specialiomis medžiagomis.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Apledėjusi akmens danga gali būti barstoma smėliu, granitine skaldele, tačiau, nutirpus sniegui, turi būti surenkama, kad nepatektų į nuotekų sistemą. Apledėjusiai dangai galima naudoti ir NaCl druską, tačiau ši priemonė išbalina dangas, o dangų natūrali spalva atsistato tik po pusmečio. Draudžiama naudoti medžiagas, kurių sudėtyje yra komponentų, galinčių pažeisti akmens dangų paviršių, sukelti eroziją ar pabloginti fizines savybes.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Visas įrengtas dangas reikia saugoti nuo mechaninių sugadinimu.</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Visi  Miesto sodo teritorijos takai (išskyrus kertantys R. Kalantos paminklą, kurie įrengiami be pagrindų) projektuojami 5 lūžio apkrovos klasės. Muzikinio teatro ūkinėje zonoje, projektuojama danga atitinkanti 6 lūžio apkrovos klasei.</w:t>
      </w:r>
    </w:p>
    <w:p>
      <w:pPr>
        <w:pStyle w:val="Paprtekstas"/>
        <w:widowControl/>
        <w:suppressAutoHyphens w:val="true"/>
        <w:bidi w:val="0"/>
        <w:spacing w:lineRule="auto" w:line="276"/>
        <w:rPr>
          <w:color w:val="auto"/>
        </w:rPr>
      </w:pPr>
      <w:r>
        <w:rPr>
          <w:rFonts w:eastAsia="Times New Roman" w:cs="Times New Roman"/>
          <w:b/>
          <w:bCs/>
          <w:color w:val="auto"/>
          <w:kern w:val="0"/>
          <w:sz w:val="22"/>
          <w:szCs w:val="22"/>
          <w:lang w:val="lt-LT" w:eastAsia="en-US" w:bidi="ar-SA"/>
        </w:rPr>
        <w:t>3.8. Gatvės dangos ženklinimas pagal neįgaliųjų poreikius</w:t>
      </w:r>
    </w:p>
    <w:p>
      <w:pPr>
        <w:pStyle w:val="Normal"/>
        <w:widowControl/>
        <w:suppressAutoHyphens w:val="true"/>
        <w:bidi w:val="0"/>
        <w:spacing w:lineRule="auto" w:line="276"/>
        <w:jc w:val="both"/>
        <w:rPr>
          <w:color w:val="auto"/>
        </w:rPr>
      </w:pPr>
      <w:r>
        <w:rPr>
          <w:rFonts w:eastAsia="Times New Roman" w:cs="Times New Roman" w:ascii="Arial" w:hAnsi="Arial"/>
          <w:b/>
          <w:bCs/>
          <w:color w:val="auto"/>
          <w:kern w:val="0"/>
          <w:sz w:val="22"/>
          <w:szCs w:val="22"/>
          <w:lang w:val="lt-LT" w:eastAsia="en-US" w:bidi="ar-SA"/>
        </w:rPr>
        <w:tab/>
      </w:r>
      <w:r>
        <w:rPr>
          <w:rFonts w:eastAsia="Times New Roman" w:cs="Times New Roman" w:ascii="Arial" w:hAnsi="Arial"/>
          <w:color w:val="auto"/>
          <w:kern w:val="0"/>
          <w:sz w:val="20"/>
          <w:szCs w:val="24"/>
          <w:lang w:val="lt-LT" w:eastAsia="en-US" w:bidi="ar-SA"/>
        </w:rPr>
        <w:t>Neregių vedimo sistemos turi būti įrengiamos Pėsčiųjų takuose prieš lygio ar krypties pasikeitimus ir susikirtimų su gatvių vaţiuojamąja dalimi bei kitomis kliūtimis vietose, prieš laiptus, pandusus ir bet kokius kitus aukščio pasikeitimus pastatuose. ŢN pritaikyto panduso pradţioje bei pabaigoje ir ten, kur panduso juosta keičia kryptį, turi būti įrengta poilsio aikštelė, ne maţesnė kaip 1 500 x 1 500 mm. Kai panduso juosta nekeičia krypties, ne rečiau kaip kas 9 000 mm panduso juostos ilgio ir ne rečiau kaip kas 750 mm vertikalaus pakilimo turi būti įrengta poilsio aikštelė, kurios ilgis būtų ne maţesnis nei 1 500 mm, o plotis nemaţesnis uţ panduso juostos plotį.</w:t>
      </w:r>
    </w:p>
    <w:p>
      <w:pPr>
        <w:pStyle w:val="Normal"/>
        <w:suppressAutoHyphens w:val="true"/>
        <w:jc w:val="both"/>
        <w:rPr>
          <w:color w:val="auto"/>
        </w:rPr>
      </w:pPr>
      <w:r>
        <w:rPr>
          <w:rFonts w:ascii="Arial" w:hAnsi="Arial"/>
          <w:color w:val="auto"/>
          <w:sz w:val="20"/>
        </w:rPr>
        <w:tab/>
        <w:t>Panduso ir kiekvienos jo juostos viršuje bei apačioje turi būti įrengtas įspėjamasis paviršius. Įspėjamasis paviršius turi būti panduso pločio ir 600 mm ilgio.</w:t>
      </w:r>
    </w:p>
    <w:p>
      <w:pPr>
        <w:pStyle w:val="Normal"/>
        <w:suppressAutoHyphens w:val="true"/>
        <w:jc w:val="both"/>
        <w:rPr>
          <w:color w:val="auto"/>
        </w:rPr>
      </w:pPr>
      <w:r>
        <w:rPr>
          <w:rFonts w:ascii="Arial" w:hAnsi="Arial"/>
          <w:color w:val="auto"/>
          <w:sz w:val="20"/>
        </w:rPr>
        <w:tab/>
        <w:t>ŽN judėjimo trasose įrengiami įspėjamieji paviršiai rekomenduojami tokio reljefo:</w:t>
      </w:r>
    </w:p>
    <w:p>
      <w:pPr>
        <w:pStyle w:val="Normal"/>
        <w:numPr>
          <w:ilvl w:val="0"/>
          <w:numId w:val="1"/>
        </w:numPr>
        <w:suppressAutoHyphens w:val="true"/>
        <w:jc w:val="both"/>
        <w:rPr>
          <w:color w:val="auto"/>
        </w:rPr>
      </w:pPr>
      <w:r>
        <w:rPr>
          <w:rFonts w:ascii="Arial" w:hAnsi="Arial"/>
          <w:color w:val="auto"/>
          <w:sz w:val="20"/>
        </w:rPr>
        <w:t>lygiagrečių juostelių (4 - 5 mm aukščio, 20 - 25 mm pločio, išdėstytų kas 40 - 60 mm), skirto</w:t>
      </w:r>
      <w:r>
        <w:rPr>
          <w:rFonts w:ascii="Arial" w:hAnsi="Arial"/>
          <w:b w:val="false"/>
          <w:i w:val="false"/>
          <w:color w:val="auto"/>
          <w:sz w:val="22"/>
        </w:rPr>
        <w:t>judėjimo krypčiai ar krypties pasikeitimui paţymėti;</w:t>
      </w:r>
    </w:p>
    <w:p>
      <w:pPr>
        <w:pStyle w:val="Normal"/>
        <w:numPr>
          <w:ilvl w:val="0"/>
          <w:numId w:val="1"/>
        </w:numPr>
        <w:suppressAutoHyphens w:val="true"/>
        <w:jc w:val="both"/>
        <w:rPr>
          <w:color w:val="auto"/>
        </w:rPr>
      </w:pPr>
      <w:r>
        <w:rPr>
          <w:rFonts w:ascii="Arial" w:hAnsi="Arial"/>
          <w:color w:val="auto"/>
          <w:sz w:val="20"/>
        </w:rPr>
        <w:t xml:space="preserve"> </w:t>
      </w:r>
      <w:r>
        <w:rPr>
          <w:rFonts w:ascii="Arial" w:hAnsi="Arial"/>
          <w:color w:val="auto"/>
          <w:sz w:val="20"/>
        </w:rPr>
        <w:t xml:space="preserve">apvalių kauburėių (kauburėlių skersmuo 20 25 mm, aukštis 4 - 5 mm, atstumai tarp centrų 60 mm), skirto įspėti apie priekyje esančius aukščio pasikeitimus (laiptus arba pandusus). </w:t>
      </w:r>
      <w:r>
        <w:rPr>
          <w:rFonts w:ascii="Arial" w:hAnsi="Arial"/>
          <w:b w:val="false"/>
          <w:i w:val="false"/>
          <w:color w:val="auto"/>
          <w:sz w:val="22"/>
        </w:rPr>
        <w:t>Pastatų vidaus įspėjamieji paviršiai nuo gretimų paviršių turi skirtis savo kietumu, tamprumu ar garsu, sklindančiu nuo jų paviršius.</w:t>
      </w:r>
    </w:p>
    <w:p>
      <w:pPr>
        <w:pStyle w:val="Normal"/>
        <w:suppressAutoHyphens w:val="true"/>
        <w:jc w:val="both"/>
        <w:rPr>
          <w:color w:val="auto"/>
        </w:rPr>
      </w:pPr>
      <w:r>
        <w:rPr>
          <w:rFonts w:ascii="Arial" w:hAnsi="Arial"/>
          <w:color w:val="auto"/>
          <w:sz w:val="20"/>
        </w:rPr>
        <w:tab/>
        <w:t>Aklieji ir silpnaregiai orientuojasi pagal reljefines dangas, kontrastingų spalvų juostas. Kai šaligatvis ir gatvės vaţiuojamoji dalis įrengti viename lygyje, tai jų riba turi būti paţymėta skirtingos faktūros ir skirtingos spalvos įspėjamąja juosta per visą šaligatvio plotį, likus 30 cm iki šaligatvio krašto arba susikirtimo su vaţiuojamąja dalimi.</w:t>
      </w:r>
    </w:p>
    <w:p>
      <w:pPr>
        <w:pStyle w:val="Normal"/>
        <w:suppressAutoHyphens w:val="true"/>
        <w:jc w:val="both"/>
        <w:rPr>
          <w:color w:val="auto"/>
        </w:rPr>
      </w:pPr>
      <w:r>
        <w:rPr>
          <w:rFonts w:ascii="Arial" w:hAnsi="Arial"/>
          <w:color w:val="auto"/>
          <w:sz w:val="20"/>
        </w:rPr>
        <w:t xml:space="preserve"> </w:t>
      </w:r>
      <w:r>
        <w:rPr>
          <w:rFonts w:ascii="Arial" w:hAnsi="Arial"/>
          <w:color w:val="auto"/>
          <w:sz w:val="20"/>
        </w:rPr>
        <w:tab/>
      </w:r>
      <w:r>
        <w:rPr>
          <w:rFonts w:eastAsia="Times New Roman" w:cs="Times New Roman" w:ascii="Arial" w:hAnsi="Arial"/>
          <w:color w:val="auto"/>
          <w:kern w:val="0"/>
          <w:sz w:val="20"/>
          <w:szCs w:val="24"/>
          <w:lang w:val="lt-LT" w:eastAsia="en-US" w:bidi="ar-SA"/>
        </w:rPr>
        <w:t>Lytėjimo indikatoriai turi būti pagaminti iš ilgalaikių medţiagų ir uţtikrinti reikalingą paviršiaus  kontrastą. Indikatoriai neturi būti slidaus paviršiaus.</w:t>
      </w:r>
    </w:p>
    <w:p>
      <w:pPr>
        <w:pStyle w:val="Normal"/>
        <w:suppressAutoHyphens w:val="true"/>
        <w:jc w:val="both"/>
        <w:rPr>
          <w:color w:val="auto"/>
        </w:rPr>
      </w:pPr>
      <w:r>
        <w:rPr>
          <w:rFonts w:eastAsia="Times New Roman" w:cs="Times New Roman" w:ascii="Arial" w:hAnsi="Arial"/>
          <w:color w:val="auto"/>
          <w:kern w:val="0"/>
          <w:sz w:val="20"/>
          <w:szCs w:val="24"/>
          <w:lang w:val="lt-LT" w:eastAsia="en-US" w:bidi="ar-SA"/>
        </w:rPr>
        <w:tab/>
        <w:t>Neregių vedimo sistema turi būti įrengiama taip, kad indikatorių pagrindas būtų iškilęs ne daugiau 3mm virš dangos, kad nekeltų uţsikabinimo pavojaus.</w:t>
      </w:r>
    </w:p>
    <w:p>
      <w:pPr>
        <w:pStyle w:val="Normal"/>
        <w:suppressAutoHyphens w:val="true"/>
        <w:jc w:val="both"/>
        <w:rPr>
          <w:color w:val="auto"/>
        </w:rPr>
      </w:pPr>
      <w:r>
        <w:rPr>
          <w:rFonts w:ascii="Arial" w:hAnsi="Arial"/>
          <w:color w:val="auto"/>
          <w:sz w:val="20"/>
        </w:rPr>
        <w:tab/>
        <w:t>Įrengiant neregių vedimo sistemą, vedimo ir pavojaus indikatoriai turi būti išdėstomi logine, nuoseklia seka, su pradţios ir pabaigos taškais, tarp kurių nurodyti sankryţų, apsiprendimo ir pavojų taškai. Sistema taip pat gali būti naudojama nurodant pavienius pavojaus ar svarbius taškus.</w:t>
      </w:r>
    </w:p>
    <w:p>
      <w:pPr>
        <w:pStyle w:val="Normal"/>
        <w:suppressAutoHyphens w:val="true"/>
        <w:jc w:val="both"/>
        <w:rPr>
          <w:color w:val="auto"/>
        </w:rPr>
      </w:pPr>
      <w:r>
        <w:rPr>
          <w:rFonts w:ascii="Arial" w:hAnsi="Arial"/>
          <w:b w:val="false"/>
          <w:i w:val="false"/>
          <w:color w:val="auto"/>
          <w:sz w:val="22"/>
        </w:rPr>
        <w:tab/>
      </w:r>
      <w:r>
        <w:rPr>
          <w:rFonts w:ascii="Arial" w:hAnsi="Arial"/>
          <w:color w:val="auto"/>
          <w:sz w:val="20"/>
        </w:rPr>
        <w:t>Efektyvus įspėjamųjų paviršių ilgis ir plotis turi būti ne maţiau 560mm Jeigu įspėjamasis paviršius naudojamas pavojaus nurodymui, jis turi būti įrengiamas per visą pavojaus plotį iš visų pusių ir turi būti atitrauktas nuo pavojaus ne maţiau 300mm. Kai įspėjamieji paviršiai naudojami apsisprendimo taškams, jų plotis ir ilgis turi būti ne maţiau 560x560mm.</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Projektuojamoje teritorijoje numatyta ženklinti gatvės dangas (šaligatvius) taktiline sistema pagal neregių ir silpnaregių poreikius.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Betono trinkelėse įrengiama nerūdijančio plieno kauburėlių ir juostelių sistema.</w:t>
      </w:r>
    </w:p>
    <w:p>
      <w:pPr>
        <w:pStyle w:val="Paprtekstas"/>
        <w:widowControl/>
        <w:suppressAutoHyphens w:val="true"/>
        <w:bidi w:val="0"/>
        <w:spacing w:lineRule="auto" w:line="276"/>
        <w:rPr>
          <w:color w:val="auto"/>
        </w:rPr>
      </w:pPr>
      <w:r>
        <w:rPr>
          <w:color w:val="auto"/>
        </w:rPr>
        <w:t>Brėžiniai tikslinami DP ir autorinės priežiūros metu.</w:t>
      </w:r>
    </w:p>
    <w:tbl>
      <w:tblPr>
        <w:tblStyle w:val="TableGrid"/>
        <w:tblW w:w="10284" w:type="dxa"/>
        <w:jc w:val="left"/>
        <w:tblInd w:w="0" w:type="dxa"/>
        <w:tblLayout w:type="fixed"/>
        <w:tblCellMar>
          <w:top w:w="108" w:type="dxa"/>
          <w:left w:w="108" w:type="dxa"/>
          <w:bottom w:w="108" w:type="dxa"/>
          <w:right w:w="108" w:type="dxa"/>
        </w:tblCellMar>
        <w:tblLook w:firstRow="1" w:noVBand="1" w:lastRow="0" w:firstColumn="1" w:lastColumn="0" w:noHBand="0" w:val="04a0"/>
      </w:tblPr>
      <w:tblGrid>
        <w:gridCol w:w="1128"/>
        <w:gridCol w:w="3486"/>
        <w:gridCol w:w="5670"/>
      </w:tblGrid>
      <w:tr>
        <w:trPr>
          <w:tblHeader w:val="true"/>
          <w:trHeight w:val="397" w:hRule="atLeast"/>
          <w:cantSplit w:val="true"/>
        </w:trPr>
        <w:tc>
          <w:tcPr>
            <w:tcW w:w="1128" w:type="dxa"/>
            <w:tcBorders/>
            <w:shd w:color="auto" w:fill="E7E6E6" w:themeFill="background2" w:val="clear"/>
            <w:vAlign w:val="center"/>
          </w:tcPr>
          <w:p>
            <w:pPr>
              <w:pStyle w:val="Normal"/>
              <w:suppressAutoHyphens w:val="true"/>
              <w:spacing w:before="0" w:after="0"/>
              <w:jc w:val="left"/>
              <w:rPr>
                <w:color w:val="auto"/>
                <w:sz w:val="22"/>
              </w:rPr>
            </w:pPr>
            <w:r>
              <w:rPr>
                <w:rFonts w:cs="Arial" w:ascii="Arial" w:hAnsi="Arial"/>
                <w:b/>
                <w:bCs/>
                <w:color w:val="000000"/>
                <w:sz w:val="20"/>
                <w:szCs w:val="20"/>
                <w:shd w:fill="auto" w:val="clear"/>
              </w:rPr>
              <w:t>Žymuo</w:t>
            </w:r>
          </w:p>
        </w:tc>
        <w:tc>
          <w:tcPr>
            <w:tcW w:w="3486" w:type="dxa"/>
            <w:tcBorders/>
            <w:shd w:color="auto" w:fill="E7E6E6" w:themeFill="background2" w:val="clear"/>
            <w:vAlign w:val="center"/>
          </w:tcPr>
          <w:p>
            <w:pPr>
              <w:pStyle w:val="Normal"/>
              <w:suppressAutoHyphens w:val="true"/>
              <w:spacing w:before="0" w:after="0"/>
              <w:jc w:val="left"/>
              <w:rPr>
                <w:color w:val="auto"/>
                <w:sz w:val="22"/>
              </w:rPr>
            </w:pPr>
            <w:r>
              <w:rPr>
                <w:rFonts w:cs="Arial" w:ascii="Arial" w:hAnsi="Arial"/>
                <w:b/>
                <w:bCs/>
                <w:color w:val="000000"/>
                <w:sz w:val="20"/>
                <w:szCs w:val="20"/>
                <w:shd w:fill="auto" w:val="clear"/>
              </w:rPr>
              <w:t>Pavyzdys</w:t>
            </w:r>
          </w:p>
        </w:tc>
        <w:tc>
          <w:tcPr>
            <w:tcW w:w="5670" w:type="dxa"/>
            <w:tcBorders/>
            <w:shd w:color="auto" w:fill="E7E6E6" w:themeFill="background2" w:val="clear"/>
            <w:vAlign w:val="center"/>
          </w:tcPr>
          <w:p>
            <w:pPr>
              <w:pStyle w:val="Normal"/>
              <w:suppressAutoHyphens w:val="true"/>
              <w:spacing w:before="0" w:after="0"/>
              <w:jc w:val="left"/>
              <w:rPr>
                <w:color w:val="auto"/>
                <w:sz w:val="22"/>
              </w:rPr>
            </w:pPr>
            <w:r>
              <w:rPr>
                <w:rFonts w:cs="Arial" w:ascii="Arial" w:hAnsi="Arial"/>
                <w:b/>
                <w:bCs/>
                <w:color w:val="000000"/>
                <w:sz w:val="20"/>
                <w:szCs w:val="20"/>
                <w:shd w:fill="auto" w:val="clear"/>
              </w:rPr>
              <w:t>Charakteristika</w:t>
            </w:r>
          </w:p>
        </w:tc>
      </w:tr>
      <w:tr>
        <w:trPr>
          <w:trHeight w:val="2268" w:hRule="atLeast"/>
          <w:cantSplit w:val="true"/>
        </w:trPr>
        <w:tc>
          <w:tcPr>
            <w:tcW w:w="1128" w:type="dxa"/>
            <w:tcBorders/>
            <w:vAlign w:val="center"/>
          </w:tcPr>
          <w:p>
            <w:pPr>
              <w:pStyle w:val="Normal"/>
              <w:suppressAutoHyphens w:val="true"/>
              <w:spacing w:before="0" w:after="0"/>
              <w:jc w:val="left"/>
              <w:rPr>
                <w:color w:val="auto"/>
                <w:sz w:val="22"/>
              </w:rPr>
            </w:pPr>
            <w:r>
              <w:rPr>
                <w:rFonts w:cs="Arial" w:ascii="Arial" w:hAnsi="Arial"/>
                <w:b w:val="false"/>
                <w:bCs w:val="false"/>
                <w:color w:val="000000"/>
                <w:sz w:val="20"/>
                <w:szCs w:val="20"/>
                <w:shd w:fill="auto" w:val="clear"/>
              </w:rPr>
              <w:t>ŽN-O</w:t>
            </w:r>
          </w:p>
        </w:tc>
        <w:tc>
          <w:tcPr>
            <w:tcW w:w="3486" w:type="dxa"/>
            <w:tcBorders/>
            <w:vAlign w:val="center"/>
          </w:tcPr>
          <w:p>
            <w:pPr>
              <w:pStyle w:val="Normal"/>
              <w:suppressAutoHyphens w:val="true"/>
              <w:spacing w:before="0" w:after="0"/>
              <w:jc w:val="left"/>
              <w:rPr>
                <w:color w:val="auto"/>
              </w:rPr>
            </w:pPr>
            <w:r>
              <w:rPr>
                <w:sz w:val="22"/>
              </w:rPr>
              <w:drawing>
                <wp:inline distT="0" distB="0" distL="0" distR="0">
                  <wp:extent cx="1571625" cy="1933575"/>
                  <wp:effectExtent l="0" t="0" r="0" b="0"/>
                  <wp:docPr id="29" name="Picture 31" descr="C:\Documents and Settings\SK_03\Desktop\ŽN kauburėli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31" descr="C:\Documents and Settings\SK_03\Desktop\ŽN kauburėliai.jpg"/>
                          <pic:cNvPicPr>
                            <a:picLocks noChangeAspect="1" noChangeArrowheads="1"/>
                          </pic:cNvPicPr>
                        </pic:nvPicPr>
                        <pic:blipFill>
                          <a:blip r:embed="rId29"/>
                          <a:stretch>
                            <a:fillRect/>
                          </a:stretch>
                        </pic:blipFill>
                        <pic:spPr bwMode="auto">
                          <a:xfrm>
                            <a:off x="0" y="0"/>
                            <a:ext cx="1571625" cy="1933575"/>
                          </a:xfrm>
                          <a:prstGeom prst="rect">
                            <a:avLst/>
                          </a:prstGeom>
                          <a:noFill/>
                        </pic:spPr>
                      </pic:pic>
                    </a:graphicData>
                  </a:graphic>
                </wp:inline>
              </w:drawing>
            </w:r>
          </w:p>
        </w:tc>
        <w:tc>
          <w:tcPr>
            <w:tcW w:w="5670" w:type="dxa"/>
            <w:tcBorders/>
          </w:tcPr>
          <w:p>
            <w:pPr>
              <w:pStyle w:val="Normal"/>
              <w:suppressAutoHyphens w:val="true"/>
              <w:spacing w:before="0" w:after="0"/>
              <w:jc w:val="left"/>
              <w:rPr>
                <w:color w:val="auto"/>
                <w:sz w:val="22"/>
              </w:rPr>
            </w:pPr>
            <w:r>
              <w:rPr>
                <w:rFonts w:cs="Arial" w:ascii="Arial" w:hAnsi="Arial"/>
                <w:b w:val="false"/>
                <w:bCs w:val="false"/>
                <w:color w:val="000000"/>
                <w:sz w:val="20"/>
                <w:szCs w:val="20"/>
                <w:shd w:fill="auto" w:val="clear"/>
              </w:rPr>
              <w:t>Nerūdijančio plieno kauburėliai įspėjamiesiems paviršiams</w:t>
            </w:r>
          </w:p>
          <w:p>
            <w:pPr>
              <w:pStyle w:val="Normal"/>
              <w:suppressAutoHyphens w:val="true"/>
              <w:spacing w:before="0" w:after="0"/>
              <w:jc w:val="left"/>
              <w:rPr>
                <w:color w:val="auto"/>
                <w:sz w:val="22"/>
              </w:rPr>
            </w:pPr>
            <w:r>
              <w:rPr>
                <w:rFonts w:cs="Arial" w:ascii="Arial" w:hAnsi="Arial"/>
                <w:b w:val="false"/>
                <w:bCs w:val="false"/>
                <w:color w:val="000000"/>
                <w:sz w:val="20"/>
                <w:szCs w:val="20"/>
                <w:shd w:fill="auto" w:val="clear"/>
              </w:rPr>
              <w:t>Matmenys:</w:t>
            </w:r>
          </w:p>
          <w:p>
            <w:pPr>
              <w:pStyle w:val="Normal"/>
              <w:suppressAutoHyphens w:val="true"/>
              <w:spacing w:before="0" w:after="0"/>
              <w:jc w:val="left"/>
              <w:rPr>
                <w:color w:val="auto"/>
                <w:sz w:val="22"/>
              </w:rPr>
            </w:pPr>
            <w:r>
              <w:rPr>
                <w:rFonts w:cs="Arial" w:ascii="Arial" w:hAnsi="Arial"/>
                <w:b w:val="false"/>
                <w:bCs w:val="false"/>
                <w:color w:val="000000"/>
                <w:sz w:val="20"/>
                <w:szCs w:val="20"/>
                <w:shd w:fill="auto" w:val="clear"/>
              </w:rPr>
              <w:t>Pagrindo skersmuo – 35 mm,</w:t>
            </w:r>
          </w:p>
          <w:p>
            <w:pPr>
              <w:pStyle w:val="Normal"/>
              <w:suppressAutoHyphens w:val="true"/>
              <w:spacing w:before="0" w:after="0"/>
              <w:jc w:val="left"/>
              <w:rPr>
                <w:color w:val="auto"/>
                <w:sz w:val="22"/>
              </w:rPr>
            </w:pPr>
            <w:r>
              <w:rPr>
                <w:rFonts w:cs="Arial" w:ascii="Arial" w:hAnsi="Arial"/>
                <w:b w:val="false"/>
                <w:bCs w:val="false"/>
                <w:color w:val="000000"/>
                <w:sz w:val="20"/>
                <w:szCs w:val="20"/>
                <w:shd w:fill="auto" w:val="clear"/>
              </w:rPr>
              <w:t>Viršaus skersmuo – 25 mm,</w:t>
            </w:r>
          </w:p>
          <w:p>
            <w:pPr>
              <w:pStyle w:val="Normal"/>
              <w:suppressAutoHyphens w:val="true"/>
              <w:spacing w:before="0" w:after="0"/>
              <w:jc w:val="left"/>
              <w:rPr>
                <w:color w:val="auto"/>
                <w:sz w:val="22"/>
              </w:rPr>
            </w:pPr>
            <w:r>
              <w:rPr>
                <w:rFonts w:cs="Arial" w:ascii="Arial" w:hAnsi="Arial"/>
                <w:b w:val="false"/>
                <w:bCs w:val="false"/>
                <w:color w:val="000000"/>
                <w:sz w:val="20"/>
                <w:szCs w:val="20"/>
                <w:shd w:fill="auto" w:val="clear"/>
              </w:rPr>
              <w:t>Kojelės ilgis ≥ 10 mm</w:t>
            </w:r>
          </w:p>
          <w:p>
            <w:pPr>
              <w:pStyle w:val="Normal"/>
              <w:suppressAutoHyphens w:val="true"/>
              <w:spacing w:before="0" w:after="0"/>
              <w:jc w:val="left"/>
              <w:rPr>
                <w:color w:val="auto"/>
                <w:sz w:val="22"/>
              </w:rPr>
            </w:pPr>
            <w:r>
              <w:rPr>
                <w:rFonts w:cs="Arial" w:ascii="Arial" w:hAnsi="Arial"/>
                <w:b w:val="false"/>
                <w:bCs w:val="false"/>
                <w:color w:val="000000"/>
                <w:sz w:val="20"/>
                <w:szCs w:val="20"/>
                <w:shd w:fill="auto" w:val="clear"/>
              </w:rPr>
              <w:t>Aprašas:</w:t>
            </w:r>
          </w:p>
          <w:p>
            <w:pPr>
              <w:pStyle w:val="Normal"/>
              <w:suppressAutoHyphens w:val="true"/>
              <w:spacing w:before="0" w:after="0"/>
              <w:jc w:val="left"/>
              <w:rPr>
                <w:color w:val="auto"/>
                <w:sz w:val="22"/>
              </w:rPr>
            </w:pPr>
            <w:r>
              <w:rPr>
                <w:rFonts w:cs="Arial" w:ascii="Arial" w:hAnsi="Arial"/>
                <w:b w:val="false"/>
                <w:bCs w:val="false"/>
                <w:color w:val="000000"/>
                <w:sz w:val="20"/>
                <w:szCs w:val="20"/>
                <w:shd w:fill="auto" w:val="clear"/>
              </w:rPr>
              <w:t>Medžiaga – aukštos kokybės 316 markės nerūdijantis plienas, spalva juoda – tikslinama DP. Tvirtinami į dangą klijuojant elastingais, lauko sąlygomis eksploatuoti tinkamais klijais į iš anksto įšgręžtas skyles.</w:t>
            </w:r>
          </w:p>
          <w:p>
            <w:pPr>
              <w:pStyle w:val="Normal"/>
              <w:suppressAutoHyphens w:val="true"/>
              <w:spacing w:before="0" w:after="0"/>
              <w:jc w:val="left"/>
              <w:rPr>
                <w:rFonts w:ascii="Arial" w:hAnsi="Arial" w:cs="Arial"/>
                <w:b w:val="false"/>
                <w:bCs w:val="false"/>
                <w:color w:val="auto"/>
                <w:sz w:val="20"/>
                <w:szCs w:val="20"/>
                <w:shd w:fill="auto" w:val="clear"/>
              </w:rPr>
            </w:pPr>
            <w:r>
              <w:rPr>
                <w:rFonts w:cs="Arial" w:ascii="Arial" w:hAnsi="Arial"/>
                <w:b w:val="false"/>
                <w:bCs w:val="false"/>
                <w:color w:val="auto"/>
                <w:sz w:val="20"/>
                <w:szCs w:val="20"/>
                <w:shd w:fill="auto" w:val="clear"/>
              </w:rPr>
            </w:r>
          </w:p>
        </w:tc>
      </w:tr>
      <w:tr>
        <w:trPr>
          <w:trHeight w:val="701" w:hRule="atLeast"/>
          <w:cantSplit w:val="true"/>
        </w:trPr>
        <w:tc>
          <w:tcPr>
            <w:tcW w:w="1128" w:type="dxa"/>
            <w:tcBorders/>
            <w:vAlign w:val="center"/>
          </w:tcPr>
          <w:p>
            <w:pPr>
              <w:pStyle w:val="Normal"/>
              <w:suppressAutoHyphens w:val="true"/>
              <w:spacing w:before="0" w:after="0"/>
              <w:jc w:val="left"/>
              <w:rPr>
                <w:color w:val="auto"/>
                <w:sz w:val="22"/>
              </w:rPr>
            </w:pPr>
            <w:r>
              <w:rPr>
                <w:rFonts w:cs="Arial" w:ascii="Arial" w:hAnsi="Arial"/>
                <w:b w:val="false"/>
                <w:bCs w:val="false"/>
                <w:color w:val="000000"/>
                <w:sz w:val="20"/>
                <w:szCs w:val="20"/>
                <w:shd w:fill="auto" w:val="clear"/>
              </w:rPr>
              <w:t>ŽN-I</w:t>
            </w:r>
          </w:p>
        </w:tc>
        <w:tc>
          <w:tcPr>
            <w:tcW w:w="3486" w:type="dxa"/>
            <w:tcBorders/>
            <w:vAlign w:val="center"/>
          </w:tcPr>
          <w:p>
            <w:pPr>
              <w:pStyle w:val="Normal"/>
              <w:suppressAutoHyphens w:val="true"/>
              <w:spacing w:before="0" w:after="0"/>
              <w:jc w:val="left"/>
              <w:rPr>
                <w:color w:val="auto"/>
              </w:rPr>
            </w:pPr>
            <w:r>
              <w:rPr>
                <w:sz w:val="22"/>
              </w:rPr>
              <w:drawing>
                <wp:inline distT="0" distB="0" distL="0" distR="0">
                  <wp:extent cx="1975485" cy="1590675"/>
                  <wp:effectExtent l="0" t="0" r="0" b="0"/>
                  <wp:docPr id="30" name="Picture 103" descr="C:\Documents and Settings\SK_03\Desktop\ŽN juostelė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103" descr="C:\Documents and Settings\SK_03\Desktop\ŽN juostelės.jpg"/>
                          <pic:cNvPicPr>
                            <a:picLocks noChangeAspect="1" noChangeArrowheads="1"/>
                          </pic:cNvPicPr>
                        </pic:nvPicPr>
                        <pic:blipFill>
                          <a:blip r:embed="rId30"/>
                          <a:stretch>
                            <a:fillRect/>
                          </a:stretch>
                        </pic:blipFill>
                        <pic:spPr bwMode="auto">
                          <a:xfrm>
                            <a:off x="0" y="0"/>
                            <a:ext cx="1975485" cy="1590675"/>
                          </a:xfrm>
                          <a:prstGeom prst="rect">
                            <a:avLst/>
                          </a:prstGeom>
                          <a:noFill/>
                        </pic:spPr>
                      </pic:pic>
                    </a:graphicData>
                  </a:graphic>
                </wp:inline>
              </w:drawing>
            </w:r>
          </w:p>
        </w:tc>
        <w:tc>
          <w:tcPr>
            <w:tcW w:w="5670" w:type="dxa"/>
            <w:tcBorders/>
          </w:tcPr>
          <w:p>
            <w:pPr>
              <w:pStyle w:val="Normal"/>
              <w:suppressAutoHyphens w:val="true"/>
              <w:spacing w:before="0" w:after="0"/>
              <w:jc w:val="left"/>
              <w:rPr>
                <w:color w:val="auto"/>
                <w:sz w:val="22"/>
              </w:rPr>
            </w:pPr>
            <w:r>
              <w:rPr>
                <w:rFonts w:cs="Arial" w:ascii="Arial" w:hAnsi="Arial"/>
                <w:b w:val="false"/>
                <w:bCs w:val="false"/>
                <w:color w:val="000000"/>
                <w:sz w:val="20"/>
                <w:szCs w:val="20"/>
                <w:shd w:fill="auto" w:val="clear"/>
              </w:rPr>
              <w:t>Nerūdijančio plieno juostelės įspėjamiesiems paviršiams</w:t>
            </w:r>
          </w:p>
          <w:p>
            <w:pPr>
              <w:pStyle w:val="Normal"/>
              <w:suppressAutoHyphens w:val="true"/>
              <w:spacing w:before="0" w:after="0"/>
              <w:jc w:val="left"/>
              <w:rPr>
                <w:color w:val="auto"/>
                <w:sz w:val="22"/>
              </w:rPr>
            </w:pPr>
            <w:r>
              <w:rPr>
                <w:rFonts w:cs="Arial" w:ascii="Arial" w:hAnsi="Arial"/>
                <w:b w:val="false"/>
                <w:bCs w:val="false"/>
                <w:color w:val="000000"/>
                <w:sz w:val="20"/>
                <w:szCs w:val="20"/>
                <w:shd w:fill="auto" w:val="clear"/>
              </w:rPr>
              <w:t>Matmenys:</w:t>
            </w:r>
          </w:p>
          <w:p>
            <w:pPr>
              <w:pStyle w:val="Normal"/>
              <w:suppressAutoHyphens w:val="true"/>
              <w:spacing w:before="0" w:after="0"/>
              <w:jc w:val="left"/>
              <w:rPr>
                <w:color w:val="auto"/>
                <w:sz w:val="22"/>
              </w:rPr>
            </w:pPr>
            <w:r>
              <w:rPr>
                <w:rFonts w:cs="Arial" w:ascii="Arial" w:hAnsi="Arial"/>
                <w:b w:val="false"/>
                <w:bCs w:val="false"/>
                <w:color w:val="000000"/>
                <w:sz w:val="20"/>
                <w:szCs w:val="20"/>
                <w:shd w:fill="auto" w:val="clear"/>
              </w:rPr>
              <w:t>Pagrindo plotis – 33 mm,</w:t>
            </w:r>
          </w:p>
          <w:p>
            <w:pPr>
              <w:pStyle w:val="Normal"/>
              <w:suppressAutoHyphens w:val="true"/>
              <w:spacing w:before="0" w:after="0"/>
              <w:jc w:val="left"/>
              <w:rPr>
                <w:color w:val="auto"/>
                <w:sz w:val="22"/>
              </w:rPr>
            </w:pPr>
            <w:r>
              <w:rPr>
                <w:rFonts w:cs="Arial" w:ascii="Arial" w:hAnsi="Arial"/>
                <w:b w:val="false"/>
                <w:bCs w:val="false"/>
                <w:color w:val="000000"/>
                <w:sz w:val="20"/>
                <w:szCs w:val="20"/>
                <w:shd w:fill="auto" w:val="clear"/>
              </w:rPr>
              <w:t>Viršaus plotis – 25 mm,</w:t>
            </w:r>
          </w:p>
          <w:p>
            <w:pPr>
              <w:pStyle w:val="Normal"/>
              <w:suppressAutoHyphens w:val="true"/>
              <w:spacing w:before="0" w:after="0"/>
              <w:jc w:val="left"/>
              <w:rPr>
                <w:color w:val="auto"/>
                <w:sz w:val="22"/>
              </w:rPr>
            </w:pPr>
            <w:r>
              <w:rPr>
                <w:rFonts w:cs="Arial" w:ascii="Arial" w:hAnsi="Arial"/>
                <w:b w:val="false"/>
                <w:bCs w:val="false"/>
                <w:color w:val="000000"/>
                <w:sz w:val="20"/>
                <w:szCs w:val="20"/>
                <w:shd w:fill="auto" w:val="clear"/>
              </w:rPr>
              <w:t>Ilgis – 280 mm,</w:t>
            </w:r>
          </w:p>
          <w:p>
            <w:pPr>
              <w:pStyle w:val="Normal"/>
              <w:suppressAutoHyphens w:val="true"/>
              <w:spacing w:before="0" w:after="0"/>
              <w:jc w:val="left"/>
              <w:rPr>
                <w:color w:val="auto"/>
                <w:sz w:val="22"/>
              </w:rPr>
            </w:pPr>
            <w:r>
              <w:rPr>
                <w:rFonts w:cs="Arial" w:ascii="Arial" w:hAnsi="Arial"/>
                <w:b w:val="false"/>
                <w:bCs w:val="false"/>
                <w:color w:val="000000"/>
                <w:sz w:val="20"/>
                <w:szCs w:val="20"/>
                <w:shd w:fill="auto" w:val="clear"/>
              </w:rPr>
              <w:t>Kojelės ilgis ≥ 10 mm</w:t>
            </w:r>
          </w:p>
          <w:p>
            <w:pPr>
              <w:pStyle w:val="Normal"/>
              <w:suppressAutoHyphens w:val="true"/>
              <w:spacing w:before="0" w:after="0"/>
              <w:jc w:val="left"/>
              <w:rPr>
                <w:color w:val="auto"/>
                <w:sz w:val="22"/>
              </w:rPr>
            </w:pPr>
            <w:r>
              <w:rPr>
                <w:rFonts w:cs="Arial" w:ascii="Arial" w:hAnsi="Arial"/>
                <w:b w:val="false"/>
                <w:bCs w:val="false"/>
                <w:color w:val="000000"/>
                <w:sz w:val="20"/>
                <w:szCs w:val="20"/>
                <w:shd w:fill="auto" w:val="clear"/>
              </w:rPr>
              <w:t>Kojelių skaičius – 3 vnt.</w:t>
            </w:r>
          </w:p>
          <w:p>
            <w:pPr>
              <w:pStyle w:val="Normal"/>
              <w:suppressAutoHyphens w:val="true"/>
              <w:spacing w:before="0" w:after="0"/>
              <w:jc w:val="left"/>
              <w:rPr>
                <w:color w:val="auto"/>
                <w:sz w:val="22"/>
              </w:rPr>
            </w:pPr>
            <w:r>
              <w:rPr>
                <w:rFonts w:cs="Arial" w:ascii="Arial" w:hAnsi="Arial"/>
                <w:b w:val="false"/>
                <w:bCs w:val="false"/>
                <w:color w:val="000000"/>
                <w:sz w:val="20"/>
                <w:szCs w:val="20"/>
                <w:shd w:fill="auto" w:val="clear"/>
              </w:rPr>
              <w:t>Aprašas:</w:t>
            </w:r>
          </w:p>
          <w:p>
            <w:pPr>
              <w:pStyle w:val="Normal"/>
              <w:suppressAutoHyphens w:val="true"/>
              <w:spacing w:before="0" w:after="0"/>
              <w:jc w:val="left"/>
              <w:rPr>
                <w:color w:val="auto"/>
                <w:sz w:val="22"/>
              </w:rPr>
            </w:pPr>
            <w:r>
              <w:rPr>
                <w:rFonts w:cs="Arial" w:ascii="Arial" w:hAnsi="Arial"/>
                <w:b w:val="false"/>
                <w:bCs w:val="false"/>
                <w:color w:val="000000"/>
                <w:sz w:val="20"/>
                <w:szCs w:val="20"/>
                <w:shd w:fill="auto" w:val="clear"/>
              </w:rPr>
              <w:t>Medžiaga – aukštos kokybės 316 markės nerūdijantis plienas, spalva juoda – tikslinama DP. Tvirtinami į dangą klijuojant elastingais, lauko sąlygomis eksploatuoti tinkamais klijais į iš anksto įšgręžtas skyles.</w:t>
            </w:r>
          </w:p>
          <w:p>
            <w:pPr>
              <w:pStyle w:val="Normal"/>
              <w:suppressAutoHyphens w:val="true"/>
              <w:spacing w:before="0" w:after="0"/>
              <w:jc w:val="left"/>
              <w:rPr>
                <w:rFonts w:ascii="Arial" w:hAnsi="Arial" w:cs="Arial"/>
                <w:b w:val="false"/>
                <w:bCs w:val="false"/>
                <w:color w:val="auto"/>
                <w:sz w:val="20"/>
                <w:szCs w:val="20"/>
                <w:shd w:fill="auto" w:val="clear"/>
              </w:rPr>
            </w:pPr>
            <w:r>
              <w:rPr>
                <w:rFonts w:cs="Arial" w:ascii="Arial" w:hAnsi="Arial"/>
                <w:b w:val="false"/>
                <w:bCs w:val="false"/>
                <w:color w:val="auto"/>
                <w:sz w:val="20"/>
                <w:szCs w:val="20"/>
                <w:shd w:fill="auto" w:val="clear"/>
              </w:rPr>
            </w:r>
          </w:p>
          <w:p>
            <w:pPr>
              <w:pStyle w:val="Normal"/>
              <w:suppressAutoHyphens w:val="true"/>
              <w:spacing w:before="0" w:after="0"/>
              <w:jc w:val="left"/>
              <w:rPr>
                <w:rFonts w:ascii="Arial" w:hAnsi="Arial" w:cs="Arial"/>
                <w:b w:val="false"/>
                <w:bCs w:val="false"/>
                <w:color w:val="auto"/>
                <w:sz w:val="20"/>
                <w:szCs w:val="20"/>
                <w:shd w:fill="auto" w:val="clear"/>
              </w:rPr>
            </w:pPr>
            <w:r>
              <w:rPr>
                <w:rFonts w:cs="Arial" w:ascii="Arial" w:hAnsi="Arial"/>
                <w:b w:val="false"/>
                <w:bCs w:val="false"/>
                <w:color w:val="auto"/>
                <w:sz w:val="20"/>
                <w:szCs w:val="20"/>
                <w:shd w:fill="auto" w:val="clear"/>
              </w:rPr>
            </w:r>
          </w:p>
        </w:tc>
      </w:tr>
    </w:tbl>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r>
    </w:p>
    <w:p>
      <w:pPr>
        <w:pStyle w:val="Paprtekstas"/>
        <w:widowControl/>
        <w:suppressAutoHyphens w:val="true"/>
        <w:bidi w:val="0"/>
        <w:spacing w:lineRule="auto" w:line="276"/>
        <w:rPr>
          <w:color w:val="auto"/>
        </w:rPr>
      </w:pPr>
      <w:r>
        <w:rPr>
          <w:rFonts w:eastAsia="Times New Roman" w:cs="Times New Roman"/>
          <w:b/>
          <w:bCs/>
          <w:color w:val="auto"/>
          <w:kern w:val="0"/>
          <w:sz w:val="22"/>
          <w:szCs w:val="22"/>
          <w:lang w:val="lt-LT" w:eastAsia="en-US" w:bidi="ar-SA"/>
        </w:rPr>
        <w:t>4. MAŽOSIOS ARCHITEKTŪROS ĮRENGIMAS</w:t>
      </w:r>
    </w:p>
    <w:p>
      <w:pPr>
        <w:pStyle w:val="Paprtekstas"/>
        <w:widowControl/>
        <w:suppressAutoHyphens w:val="true"/>
        <w:bidi w:val="0"/>
        <w:spacing w:lineRule="auto" w:line="276"/>
        <w:rPr>
          <w:color w:val="auto"/>
        </w:rPr>
      </w:pPr>
      <w:r>
        <w:rPr>
          <w:rFonts w:eastAsia="Times New Roman" w:cs="Times New Roman"/>
          <w:b/>
          <w:bCs/>
          <w:color w:val="auto"/>
          <w:kern w:val="0"/>
          <w:sz w:val="22"/>
          <w:szCs w:val="22"/>
          <w:lang w:val="lt-LT" w:eastAsia="en-US" w:bidi="ar-SA"/>
        </w:rPr>
        <w:t>4.1. Bendroji dalis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Mažoji architektūra įrengiama pagal projekte pateiktus mažosios architektūros planus ir žemiau pateiktas  mažosios  architektūros  technines  specifikacijas.  Mažosios architektūros elementus (gamyklinius gaminius) žiūrėti lentelėje, projektuojamus individualiai – brėžiniuose. Visi  metalo  gaminiai  atitinka  LST  EN 10025-5:2004 standartą. Visi medžio gaminiai turi atitikti LST EN 335:2013 ir LST EN 350-2:2000 standartus.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Prieš dangų įrengimą būtina nužymėti bortų, įrėminančių medžius, suolų, šiukšliadėžių, šviestuvų ir kitų elementų pamatus. Brėžiniuose koordinatėmis autorinės priežiūros metu turi būti nužymėta suolų ir šiukšliadėžių vienos kojelės tvirtinimo vieta. Įrenginėjant mažosios architektūros elementų pamatus būtina turėti po vieną paruoštą gaminį, kad būtų galima tiksliai atlikti matavimus. Mažosios architektūros elementų vieta tikslinama ir pamatai įrengiami keletui elementų iš karto priartėjus su klojama danga iki konkrečios vietos.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Pamatai mažosios architektūros formoms įrengiami pagal gamintojo rekomendacijas ir tikslinami autorinės priežiūros metu. Pamatai šviestuvams ir kitiems atskirai nurodytiems elementams negali būti mažesnio nei 1,2 m gylio, t.y. mažiau nei įšalo gylis.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Tvirtinant mažosios architektūros elementus būtina laikytis gamintojo rekomendacijų. Ypatingą dėmesį skirti arti medžių esantiems elementams, kad montuojant ir įrenginėjant nebūtų pažeistos medžių šaknys, kamienai.</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Gaminius sandėliuoti pagal gamintojo rekomendacijas. Nesutapimus vietoje su brėžiniais derinti su projekto autoriais. Be autorių sutikimo jokie pakeitimai negalimi.</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Bet koks mažosios architektūros elementų vietos pakeitimas privalo būti pagrįstas ir suderintas su  Projektuotoju. Renkant alternatyvų analogišką gaminį būtina pristatyti renkamą gaminį ir suderinimui su Projektuotoju.</w:t>
      </w:r>
    </w:p>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r>
    </w:p>
    <w:p>
      <w:pPr>
        <w:pStyle w:val="Caption"/>
        <w:keepNext w:val="true"/>
        <w:rPr>
          <w:color w:val="auto"/>
        </w:rPr>
      </w:pPr>
      <w:r>
        <w:rPr>
          <w:color w:val="auto"/>
        </w:rPr>
      </w:r>
    </w:p>
    <w:p>
      <w:pPr>
        <w:pStyle w:val="Caption"/>
        <w:keepNext w:val="true"/>
        <w:rPr>
          <w:color w:val="auto"/>
        </w:rPr>
      </w:pPr>
      <w:r>
        <w:rPr>
          <w:color w:val="auto"/>
          <w:sz w:val="22"/>
          <w:szCs w:val="22"/>
        </w:rPr>
        <w:t>4.2. Mažosios architektūros elementai</w:t>
      </w:r>
    </w:p>
    <w:tbl>
      <w:tblPr>
        <w:tblStyle w:val="TableGrid"/>
        <w:tblW w:w="10260" w:type="dxa"/>
        <w:jc w:val="left"/>
        <w:tblInd w:w="0" w:type="dxa"/>
        <w:tblLayout w:type="fixed"/>
        <w:tblCellMar>
          <w:top w:w="108" w:type="dxa"/>
          <w:left w:w="108" w:type="dxa"/>
          <w:bottom w:w="108" w:type="dxa"/>
          <w:right w:w="108" w:type="dxa"/>
        </w:tblCellMar>
        <w:tblLook w:firstRow="1" w:noVBand="1" w:lastRow="0" w:firstColumn="1" w:lastColumn="0" w:noHBand="0" w:val="04a0"/>
      </w:tblPr>
      <w:tblGrid>
        <w:gridCol w:w="1120"/>
        <w:gridCol w:w="3595"/>
        <w:gridCol w:w="5545"/>
      </w:tblGrid>
      <w:tr>
        <w:trPr>
          <w:trHeight w:val="340" w:hRule="atLeast"/>
          <w:cantSplit w:val="true"/>
        </w:trPr>
        <w:tc>
          <w:tcPr>
            <w:tcW w:w="1120" w:type="dxa"/>
            <w:tcBorders/>
            <w:shd w:color="auto" w:fill="E7E6E6" w:themeFill="background2" w:val="clear"/>
            <w:vAlign w:val="center"/>
          </w:tcPr>
          <w:p>
            <w:pPr>
              <w:pStyle w:val="Normal"/>
              <w:widowControl/>
              <w:suppressAutoHyphens w:val="true"/>
              <w:spacing w:before="0" w:after="0"/>
              <w:jc w:val="center"/>
              <w:rPr>
                <w:color w:val="auto"/>
                <w:sz w:val="22"/>
              </w:rPr>
            </w:pPr>
            <w:r>
              <w:rPr>
                <w:rFonts w:eastAsia="Times New Roman" w:cs="Arial" w:ascii="Arial" w:hAnsi="Arial"/>
                <w:b/>
                <w:color w:val="auto"/>
                <w:kern w:val="0"/>
                <w:sz w:val="20"/>
                <w:szCs w:val="20"/>
                <w:lang w:val="lt-LT" w:eastAsia="en-US" w:bidi="ar-SA"/>
              </w:rPr>
              <w:t>Žymuo</w:t>
            </w:r>
          </w:p>
        </w:tc>
        <w:tc>
          <w:tcPr>
            <w:tcW w:w="3595" w:type="dxa"/>
            <w:tcBorders/>
            <w:shd w:color="auto" w:fill="E7E6E6" w:themeFill="background2" w:val="clear"/>
            <w:vAlign w:val="center"/>
          </w:tcPr>
          <w:p>
            <w:pPr>
              <w:pStyle w:val="Normal"/>
              <w:widowControl/>
              <w:suppressAutoHyphens w:val="true"/>
              <w:spacing w:before="0" w:after="0"/>
              <w:jc w:val="center"/>
              <w:rPr>
                <w:color w:val="auto"/>
                <w:sz w:val="22"/>
              </w:rPr>
            </w:pPr>
            <w:r>
              <w:rPr>
                <w:rFonts w:eastAsia="Times New Roman" w:cs="Arial" w:ascii="Arial" w:hAnsi="Arial"/>
                <w:b/>
                <w:color w:val="auto"/>
                <w:kern w:val="0"/>
                <w:sz w:val="20"/>
                <w:szCs w:val="20"/>
                <w:lang w:val="lt-LT" w:eastAsia="en-US" w:bidi="ar-SA"/>
              </w:rPr>
              <w:t>Analogo pavyzdys</w:t>
            </w:r>
          </w:p>
        </w:tc>
        <w:tc>
          <w:tcPr>
            <w:tcW w:w="5545" w:type="dxa"/>
            <w:tcBorders/>
            <w:shd w:color="auto" w:fill="E7E6E6" w:themeFill="background2" w:val="clear"/>
            <w:vAlign w:val="center"/>
          </w:tcPr>
          <w:p>
            <w:pPr>
              <w:pStyle w:val="Normal"/>
              <w:widowControl/>
              <w:suppressAutoHyphens w:val="true"/>
              <w:spacing w:before="0" w:after="0"/>
              <w:jc w:val="center"/>
              <w:rPr>
                <w:color w:val="auto"/>
                <w:sz w:val="22"/>
              </w:rPr>
            </w:pPr>
            <w:r>
              <w:rPr>
                <w:rFonts w:eastAsia="Times New Roman" w:cs="Arial" w:ascii="Arial" w:hAnsi="Arial"/>
                <w:b/>
                <w:color w:val="auto"/>
                <w:kern w:val="0"/>
                <w:sz w:val="20"/>
                <w:szCs w:val="20"/>
                <w:lang w:val="lt-LT" w:eastAsia="en-US" w:bidi="ar-SA"/>
              </w:rPr>
              <w:t>Techninės savybės</w:t>
            </w:r>
          </w:p>
        </w:tc>
      </w:tr>
      <w:tr>
        <w:trPr>
          <w:trHeight w:val="2268" w:hRule="atLeast"/>
          <w:cantSplit w:val="true"/>
        </w:trPr>
        <w:tc>
          <w:tcPr>
            <w:tcW w:w="1120" w:type="dxa"/>
            <w:tcBorders/>
            <w:vAlign w:val="center"/>
          </w:tcPr>
          <w:p>
            <w:pPr>
              <w:pStyle w:val="Normal"/>
              <w:widowControl/>
              <w:suppressAutoHyphens w:val="true"/>
              <w:spacing w:before="0" w:after="0"/>
              <w:jc w:val="center"/>
              <w:rPr>
                <w:color w:val="auto"/>
                <w:sz w:val="22"/>
              </w:rPr>
            </w:pPr>
            <w:r>
              <w:drawing>
                <wp:anchor behindDoc="0" distT="0" distB="0" distL="0" distR="0" simplePos="0" locked="0" layoutInCell="0" allowOverlap="1" relativeHeight="178">
                  <wp:simplePos x="0" y="0"/>
                  <wp:positionH relativeFrom="margin">
                    <wp:posOffset>1217930</wp:posOffset>
                  </wp:positionH>
                  <wp:positionV relativeFrom="paragraph">
                    <wp:posOffset>209550</wp:posOffset>
                  </wp:positionV>
                  <wp:extent cx="867410" cy="2062480"/>
                  <wp:effectExtent l="0" t="0" r="0" b="0"/>
                  <wp:wrapSquare wrapText="largest"/>
                  <wp:docPr id="31"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10"/>
                          <pic:cNvPicPr>
                            <a:picLocks noChangeAspect="1" noChangeArrowheads="1"/>
                          </pic:cNvPicPr>
                        </pic:nvPicPr>
                        <pic:blipFill>
                          <a:blip r:embed="rId31"/>
                          <a:stretch>
                            <a:fillRect/>
                          </a:stretch>
                        </pic:blipFill>
                        <pic:spPr bwMode="auto">
                          <a:xfrm>
                            <a:off x="0" y="0"/>
                            <a:ext cx="867410" cy="2062480"/>
                          </a:xfrm>
                          <a:prstGeom prst="rect">
                            <a:avLst/>
                          </a:prstGeom>
                          <a:noFill/>
                        </pic:spPr>
                      </pic:pic>
                    </a:graphicData>
                  </a:graphic>
                </wp:anchor>
              </w:drawing>
            </w:r>
            <w:r>
              <w:rPr>
                <w:rFonts w:eastAsia="Times New Roman" w:cs="Arial" w:ascii="Arial" w:hAnsi="Arial"/>
                <w:color w:val="auto"/>
                <w:kern w:val="0"/>
                <w:sz w:val="20"/>
                <w:szCs w:val="20"/>
                <w:lang w:val="lt-LT" w:eastAsia="en-US" w:bidi="ar-SA"/>
              </w:rPr>
              <w:t>V-01</w:t>
            </w:r>
          </w:p>
        </w:tc>
        <w:tc>
          <w:tcPr>
            <w:tcW w:w="3595" w:type="dxa"/>
            <w:tcBorders/>
            <w:vAlign w:val="center"/>
          </w:tcPr>
          <w:p>
            <w:pPr>
              <w:pStyle w:val="Normal"/>
              <w:widowControl/>
              <w:suppressAutoHyphens w:val="true"/>
              <w:spacing w:before="0" w:after="0"/>
              <w:jc w:val="left"/>
              <w:rPr>
                <w:rFonts w:ascii="Arial" w:hAnsi="Arial"/>
                <w:color w:val="auto"/>
                <w:sz w:val="20"/>
                <w:szCs w:val="20"/>
              </w:rPr>
            </w:pPr>
            <w:r>
              <w:rPr>
                <w:rFonts w:ascii="Arial" w:hAnsi="Arial"/>
                <w:color w:val="auto"/>
                <w:sz w:val="20"/>
                <w:szCs w:val="20"/>
              </w:rPr>
            </w:r>
          </w:p>
        </w:tc>
        <w:tc>
          <w:tcPr>
            <w:tcW w:w="5545" w:type="dxa"/>
            <w:tcBorders/>
          </w:tcPr>
          <w:p>
            <w:pPr>
              <w:pStyle w:val="Normal"/>
              <w:widowControl/>
              <w:suppressAutoHyphens w:val="true"/>
              <w:spacing w:before="0" w:after="0"/>
              <w:jc w:val="left"/>
              <w:rPr>
                <w:color w:val="auto"/>
                <w:sz w:val="22"/>
              </w:rPr>
            </w:pPr>
            <w:r>
              <w:rPr>
                <w:rFonts w:eastAsia="Times New Roman" w:cs="Arial" w:ascii="Arial" w:hAnsi="Arial"/>
                <w:b/>
                <w:color w:val="auto"/>
                <w:kern w:val="0"/>
                <w:sz w:val="20"/>
                <w:szCs w:val="20"/>
                <w:lang w:val="lt-LT" w:eastAsia="en-US" w:bidi="ar-SA"/>
              </w:rPr>
              <w:t>Vėliavos stiebas</w:t>
            </w:r>
          </w:p>
          <w:p>
            <w:pPr>
              <w:pStyle w:val="Normal"/>
              <w:widowControl/>
              <w:suppressAutoHyphens w:val="true"/>
              <w:spacing w:before="0" w:after="0"/>
              <w:jc w:val="left"/>
              <w:rPr>
                <w:color w:val="auto"/>
                <w:sz w:val="22"/>
              </w:rPr>
            </w:pPr>
            <w:r>
              <w:rPr>
                <w:rFonts w:eastAsia="Times New Roman" w:cs="Arial" w:ascii="Arial" w:hAnsi="Arial"/>
                <w:b/>
                <w:color w:val="auto"/>
                <w:kern w:val="0"/>
                <w:sz w:val="20"/>
                <w:szCs w:val="20"/>
                <w:lang w:val="lt-LT" w:eastAsia="en-US" w:bidi="ar-SA"/>
              </w:rPr>
              <w:t>Aukštis</w:t>
            </w:r>
            <w:r>
              <w:rPr>
                <w:rFonts w:eastAsia="Times New Roman" w:cs="Arial" w:ascii="Arial" w:hAnsi="Arial"/>
                <w:color w:val="auto"/>
                <w:kern w:val="0"/>
                <w:sz w:val="20"/>
                <w:szCs w:val="20"/>
                <w:lang w:val="lt-LT" w:eastAsia="en-US" w:bidi="ar-SA"/>
              </w:rPr>
              <w:t>: 6 m;</w:t>
            </w:r>
          </w:p>
          <w:p>
            <w:pPr>
              <w:pStyle w:val="Normal"/>
              <w:widowControl/>
              <w:suppressAutoHyphens w:val="true"/>
              <w:spacing w:before="0" w:after="0"/>
              <w:jc w:val="left"/>
              <w:rPr>
                <w:color w:val="auto"/>
                <w:sz w:val="22"/>
              </w:rPr>
            </w:pPr>
            <w:r>
              <w:rPr>
                <w:rFonts w:eastAsia="Times New Roman" w:cs="Arial" w:ascii="Arial" w:hAnsi="Arial"/>
                <w:b/>
                <w:bCs/>
                <w:color w:val="auto"/>
                <w:kern w:val="0"/>
                <w:sz w:val="20"/>
                <w:szCs w:val="20"/>
                <w:lang w:val="lt-LT" w:eastAsia="en-US" w:bidi="ar-SA"/>
              </w:rPr>
              <w:t>Spalva:</w:t>
            </w:r>
            <w:r>
              <w:rPr>
                <w:rFonts w:eastAsia="Times New Roman" w:cs="Arial" w:ascii="Arial" w:hAnsi="Arial"/>
                <w:color w:val="auto"/>
                <w:kern w:val="0"/>
                <w:sz w:val="20"/>
                <w:szCs w:val="20"/>
                <w:lang w:val="lt-LT" w:eastAsia="en-US" w:bidi="ar-SA"/>
              </w:rPr>
              <w:t xml:space="preserve"> Pilka (KAIP ŠVIESTUVO)</w:t>
            </w:r>
          </w:p>
          <w:p>
            <w:pPr>
              <w:pStyle w:val="Paprtekstas"/>
              <w:widowControl/>
              <w:suppressAutoHyphens w:val="true"/>
              <w:bidi w:val="0"/>
              <w:spacing w:lineRule="auto" w:line="276"/>
              <w:ind w:hanging="0"/>
              <w:rPr>
                <w:color w:val="auto"/>
              </w:rPr>
            </w:pPr>
            <w:r>
              <w:rPr>
                <w:rFonts w:eastAsia="Times New Roman" w:cs="Times New Roman"/>
                <w:b/>
                <w:bCs/>
                <w:color w:val="auto"/>
                <w:kern w:val="0"/>
                <w:szCs w:val="24"/>
                <w:lang w:val="lt-LT" w:eastAsia="en-US" w:bidi="ar-SA"/>
              </w:rPr>
              <w:t>Aprašas:</w:t>
            </w:r>
            <w:r>
              <w:rPr>
                <w:rFonts w:eastAsia="Times New Roman" w:cs="Times New Roman"/>
                <w:color w:val="auto"/>
                <w:kern w:val="0"/>
                <w:szCs w:val="24"/>
                <w:lang w:val="lt-LT" w:eastAsia="en-US" w:bidi="ar-SA"/>
              </w:rPr>
              <w:t xml:space="preserve"> Vėliavos stiebas be iškeltos vėliavos atlaiko 63m/s. Vėliavos stiebas yra vientiso aukščio, pagamintas iš stiklo pluošto, kūgio formos (siaurėjantys į viršų, nelinkstantys, nerūdijantys, baltos spalvos. Stiebo skersmuo viršuje - 65 mm, stiebo skersmuo ties pagrindu - 120 mm. Vėliavos pakėlimo mechanizmas – vidinis vėliavos pakėlismas su spynele. Stiklo pluošto sienelės storis ne mažesnis kaip 3 mm. Stiebo viršūnės - "svogūno" formos, spalva - sidabro.</w:t>
            </w:r>
          </w:p>
          <w:p>
            <w:pPr>
              <w:pStyle w:val="Paprtekstas"/>
              <w:widowControl/>
              <w:suppressAutoHyphens w:val="true"/>
              <w:bidi w:val="0"/>
              <w:spacing w:lineRule="auto" w:line="276" w:before="0" w:after="120"/>
              <w:ind w:hanging="0"/>
              <w:rPr>
                <w:color w:val="auto"/>
              </w:rPr>
            </w:pPr>
            <w:r>
              <w:rPr>
                <w:rFonts w:eastAsia="Times New Roman" w:cs="Times New Roman"/>
                <w:color w:val="auto"/>
                <w:kern w:val="0"/>
                <w:szCs w:val="24"/>
                <w:lang w:val="lt-LT" w:eastAsia="en-US" w:bidi="ar-SA"/>
              </w:rPr>
              <w:t>Pamato gylis - ne mažesnis kaip 1200 mm, skersmuo ne mažesnis kaip 300 mm.</w:t>
            </w:r>
          </w:p>
        </w:tc>
      </w:tr>
      <w:tr>
        <w:trPr>
          <w:trHeight w:val="2268" w:hRule="atLeast"/>
          <w:cantSplit w:val="true"/>
        </w:trPr>
        <w:tc>
          <w:tcPr>
            <w:tcW w:w="1120" w:type="dxa"/>
            <w:tcBorders>
              <w:top w:val="nil"/>
            </w:tcBorders>
            <w:vAlign w:val="center"/>
          </w:tcPr>
          <w:p>
            <w:pPr>
              <w:pStyle w:val="Normal"/>
              <w:widowControl/>
              <w:suppressAutoHyphens w:val="true"/>
              <w:spacing w:before="0" w:after="0"/>
              <w:jc w:val="center"/>
              <w:rPr>
                <w:color w:val="auto"/>
                <w:sz w:val="22"/>
              </w:rPr>
            </w:pPr>
            <w:r>
              <w:drawing>
                <wp:anchor behindDoc="0" distT="0" distB="0" distL="0" distR="0" simplePos="0" locked="0" layoutInCell="0" allowOverlap="1" relativeHeight="176">
                  <wp:simplePos x="0" y="0"/>
                  <wp:positionH relativeFrom="margin">
                    <wp:posOffset>1104900</wp:posOffset>
                  </wp:positionH>
                  <wp:positionV relativeFrom="paragraph">
                    <wp:posOffset>485775</wp:posOffset>
                  </wp:positionV>
                  <wp:extent cx="561340" cy="1467485"/>
                  <wp:effectExtent l="0" t="0" r="0" b="0"/>
                  <wp:wrapSquare wrapText="largest"/>
                  <wp:docPr id="32"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1"/>
                          <pic:cNvPicPr>
                            <a:picLocks noChangeAspect="1" noChangeArrowheads="1"/>
                          </pic:cNvPicPr>
                        </pic:nvPicPr>
                        <pic:blipFill>
                          <a:blip r:embed="rId32"/>
                          <a:stretch>
                            <a:fillRect/>
                          </a:stretch>
                        </pic:blipFill>
                        <pic:spPr bwMode="auto">
                          <a:xfrm>
                            <a:off x="0" y="0"/>
                            <a:ext cx="561340" cy="1467485"/>
                          </a:xfrm>
                          <a:prstGeom prst="rect">
                            <a:avLst/>
                          </a:prstGeom>
                          <a:noFill/>
                        </pic:spPr>
                      </pic:pic>
                    </a:graphicData>
                  </a:graphic>
                </wp:anchor>
              </w:drawing>
              <w:drawing>
                <wp:anchor behindDoc="0" distT="0" distB="0" distL="0" distR="0" simplePos="0" locked="0" layoutInCell="0" allowOverlap="1" relativeHeight="177">
                  <wp:simplePos x="0" y="0"/>
                  <wp:positionH relativeFrom="margin">
                    <wp:posOffset>2052955</wp:posOffset>
                  </wp:positionH>
                  <wp:positionV relativeFrom="paragraph">
                    <wp:posOffset>228600</wp:posOffset>
                  </wp:positionV>
                  <wp:extent cx="689610" cy="1886585"/>
                  <wp:effectExtent l="0" t="0" r="0" b="0"/>
                  <wp:wrapSquare wrapText="largest"/>
                  <wp:docPr id="33"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12"/>
                          <pic:cNvPicPr>
                            <a:picLocks noChangeAspect="1" noChangeArrowheads="1"/>
                          </pic:cNvPicPr>
                        </pic:nvPicPr>
                        <pic:blipFill>
                          <a:blip r:embed="rId33"/>
                          <a:stretch>
                            <a:fillRect/>
                          </a:stretch>
                        </pic:blipFill>
                        <pic:spPr bwMode="auto">
                          <a:xfrm>
                            <a:off x="0" y="0"/>
                            <a:ext cx="689610" cy="1886585"/>
                          </a:xfrm>
                          <a:prstGeom prst="rect">
                            <a:avLst/>
                          </a:prstGeom>
                          <a:noFill/>
                        </pic:spPr>
                      </pic:pic>
                    </a:graphicData>
                  </a:graphic>
                </wp:anchor>
              </w:drawing>
            </w:r>
            <w:r>
              <w:rPr>
                <w:rFonts w:ascii="Arial" w:hAnsi="Arial"/>
                <w:color w:val="auto"/>
                <w:sz w:val="20"/>
                <w:szCs w:val="20"/>
              </w:rPr>
              <w:t>K-01</w:t>
            </w:r>
          </w:p>
        </w:tc>
        <w:tc>
          <w:tcPr>
            <w:tcW w:w="3595" w:type="dxa"/>
            <w:tcBorders>
              <w:top w:val="nil"/>
            </w:tcBorders>
            <w:vAlign w:val="center"/>
          </w:tcPr>
          <w:p>
            <w:pPr>
              <w:pStyle w:val="Normal"/>
              <w:widowControl/>
              <w:suppressAutoHyphens w:val="true"/>
              <w:spacing w:before="0" w:after="0"/>
              <w:jc w:val="left"/>
              <w:rPr>
                <w:rFonts w:ascii="Arial" w:hAnsi="Arial"/>
                <w:color w:val="auto"/>
                <w:sz w:val="20"/>
                <w:szCs w:val="20"/>
              </w:rPr>
            </w:pPr>
            <w:r>
              <w:rPr>
                <w:rFonts w:ascii="Arial" w:hAnsi="Arial"/>
                <w:color w:val="auto"/>
                <w:sz w:val="20"/>
                <w:szCs w:val="20"/>
              </w:rPr>
            </w:r>
          </w:p>
        </w:tc>
        <w:tc>
          <w:tcPr>
            <w:tcW w:w="5545" w:type="dxa"/>
            <w:tcBorders>
              <w:top w:val="nil"/>
            </w:tcBorders>
          </w:tcPr>
          <w:p>
            <w:pPr>
              <w:pStyle w:val="Normal"/>
              <w:widowControl/>
              <w:suppressAutoHyphens w:val="true"/>
              <w:spacing w:before="0" w:after="0"/>
              <w:jc w:val="left"/>
              <w:rPr>
                <w:color w:val="auto"/>
                <w:sz w:val="22"/>
              </w:rPr>
            </w:pPr>
            <w:r>
              <w:rPr>
                <w:rFonts w:ascii="Arial" w:hAnsi="Arial"/>
                <w:b/>
                <w:bCs/>
                <w:color w:val="auto"/>
                <w:sz w:val="20"/>
                <w:szCs w:val="20"/>
              </w:rPr>
              <w:t>Šiukšliadėžė</w:t>
            </w:r>
          </w:p>
          <w:p>
            <w:pPr>
              <w:pStyle w:val="Normal"/>
              <w:widowControl/>
              <w:suppressAutoHyphens w:val="true"/>
              <w:spacing w:before="0" w:after="0"/>
              <w:jc w:val="left"/>
              <w:rPr>
                <w:color w:val="auto"/>
                <w:sz w:val="22"/>
              </w:rPr>
            </w:pPr>
            <w:r>
              <w:rPr>
                <w:rFonts w:ascii="Arial" w:hAnsi="Arial"/>
                <w:b/>
                <w:bCs/>
                <w:color w:val="auto"/>
                <w:sz w:val="20"/>
                <w:szCs w:val="20"/>
              </w:rPr>
              <w:t xml:space="preserve">Matmernys: </w:t>
            </w:r>
            <w:r>
              <w:rPr>
                <w:rFonts w:ascii="Arial" w:hAnsi="Arial"/>
                <w:b w:val="false"/>
                <w:bCs w:val="false"/>
                <w:color w:val="auto"/>
                <w:sz w:val="20"/>
                <w:szCs w:val="20"/>
              </w:rPr>
              <w:t>380x380x1030 mm;</w:t>
            </w:r>
          </w:p>
          <w:p>
            <w:pPr>
              <w:pStyle w:val="Paprtekstas"/>
              <w:widowControl/>
              <w:suppressAutoHyphens w:val="true"/>
              <w:bidi w:val="0"/>
              <w:spacing w:lineRule="auto" w:line="276"/>
              <w:ind w:hanging="0"/>
              <w:rPr>
                <w:color w:val="auto"/>
              </w:rPr>
            </w:pPr>
            <w:r>
              <w:rPr>
                <w:rFonts w:eastAsia="Times New Roman" w:cs="Times New Roman"/>
                <w:b/>
                <w:bCs/>
                <w:color w:val="auto"/>
                <w:kern w:val="0"/>
                <w:szCs w:val="24"/>
                <w:lang w:val="lt-LT" w:eastAsia="en-US" w:bidi="ar-SA"/>
              </w:rPr>
              <w:t xml:space="preserve">Aprašas: </w:t>
            </w:r>
            <w:r>
              <w:rPr>
                <w:rFonts w:eastAsia="Times New Roman" w:cs="Times New Roman"/>
                <w:color w:val="auto"/>
                <w:kern w:val="0"/>
                <w:szCs w:val="24"/>
                <w:lang w:val="lt-LT" w:eastAsia="en-US" w:bidi="ar-SA"/>
              </w:rPr>
              <w:t xml:space="preserve"> Konteinerį laikanti atrama - bazė įtvirtinta, įbetonuojant 500 mm į gruntą. Su flanšine plokštele 180x150 mm su 2 skylėmis ø14 mm.</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Rėmas ir konteineris pagamintas iš galvanizuoto plieno.</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Konteineris turi lengvą perforuotą 1,5 mm plieno lakšto 45 litrų talpos įdėklą. Cilindro formos šiukšliadėžės viršutinė anga pridengiama, prie atramos montuojant 350 mm skermens žiedą su 170 mm anga. Yra atskiras skyrius nuorūkoms.</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Gaminys dažomas gamykloje, spalva nurodoma DP.</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Svoris - 30 kg.</w:t>
            </w:r>
          </w:p>
          <w:p>
            <w:pPr>
              <w:pStyle w:val="Paprtekstas"/>
              <w:widowControl/>
              <w:suppressAutoHyphens w:val="true"/>
              <w:bidi w:val="0"/>
              <w:spacing w:lineRule="auto" w:line="276" w:before="0" w:after="120"/>
              <w:ind w:hanging="0"/>
              <w:rPr>
                <w:color w:val="auto"/>
              </w:rPr>
            </w:pPr>
            <w:r>
              <w:rPr>
                <w:rFonts w:eastAsia="Times New Roman" w:cs="Times New Roman"/>
                <w:color w:val="auto"/>
                <w:kern w:val="0"/>
                <w:szCs w:val="24"/>
                <w:lang w:val="lt-LT" w:eastAsia="en-US" w:bidi="ar-SA"/>
              </w:rPr>
              <w:t>Talpa - 45 l.</w:t>
            </w:r>
          </w:p>
        </w:tc>
      </w:tr>
      <w:tr>
        <w:trPr>
          <w:trHeight w:val="2550" w:hRule="atLeast"/>
          <w:cantSplit w:val="true"/>
        </w:trPr>
        <w:tc>
          <w:tcPr>
            <w:tcW w:w="1120" w:type="dxa"/>
            <w:tcBorders>
              <w:top w:val="nil"/>
            </w:tcBorders>
            <w:vAlign w:val="center"/>
          </w:tcPr>
          <w:p>
            <w:pPr>
              <w:pStyle w:val="Normal"/>
              <w:widowControl/>
              <w:suppressAutoHyphens w:val="true"/>
              <w:spacing w:before="0" w:after="0"/>
              <w:jc w:val="center"/>
              <w:rPr>
                <w:color w:val="auto"/>
                <w:sz w:val="22"/>
              </w:rPr>
            </w:pPr>
            <w:r>
              <w:drawing>
                <wp:anchor behindDoc="0" distT="0" distB="0" distL="0" distR="0" simplePos="0" locked="0" layoutInCell="0" allowOverlap="1" relativeHeight="158">
                  <wp:simplePos x="0" y="0"/>
                  <wp:positionH relativeFrom="margin">
                    <wp:posOffset>1101090</wp:posOffset>
                  </wp:positionH>
                  <wp:positionV relativeFrom="paragraph">
                    <wp:posOffset>200025</wp:posOffset>
                  </wp:positionV>
                  <wp:extent cx="614680" cy="1080770"/>
                  <wp:effectExtent l="0" t="0" r="0" b="0"/>
                  <wp:wrapSquare wrapText="largest"/>
                  <wp:docPr id="34"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3"/>
                          <pic:cNvPicPr>
                            <a:picLocks noChangeAspect="1" noChangeArrowheads="1"/>
                          </pic:cNvPicPr>
                        </pic:nvPicPr>
                        <pic:blipFill>
                          <a:blip r:embed="rId34"/>
                          <a:stretch>
                            <a:fillRect/>
                          </a:stretch>
                        </pic:blipFill>
                        <pic:spPr bwMode="auto">
                          <a:xfrm>
                            <a:off x="0" y="0"/>
                            <a:ext cx="614680" cy="1080770"/>
                          </a:xfrm>
                          <a:prstGeom prst="rect">
                            <a:avLst/>
                          </a:prstGeom>
                          <a:noFill/>
                        </pic:spPr>
                      </pic:pic>
                    </a:graphicData>
                  </a:graphic>
                </wp:anchor>
              </w:drawing>
            </w:r>
            <w:r>
              <w:rPr>
                <w:rFonts w:ascii="Arial" w:hAnsi="Arial"/>
                <w:color w:val="auto"/>
                <w:sz w:val="20"/>
                <w:szCs w:val="20"/>
              </w:rPr>
              <w:t>K-02</w:t>
            </w:r>
          </w:p>
        </w:tc>
        <w:tc>
          <w:tcPr>
            <w:tcW w:w="3595" w:type="dxa"/>
            <w:tcBorders>
              <w:top w:val="nil"/>
            </w:tcBorders>
            <w:vAlign w:val="center"/>
          </w:tcPr>
          <w:p>
            <w:pPr>
              <w:pStyle w:val="Normal"/>
              <w:widowControl/>
              <w:suppressAutoHyphens w:val="true"/>
              <w:spacing w:before="0" w:after="0"/>
              <w:jc w:val="left"/>
              <w:rPr>
                <w:rFonts w:ascii="Arial" w:hAnsi="Arial"/>
                <w:color w:val="auto"/>
                <w:sz w:val="20"/>
                <w:szCs w:val="20"/>
              </w:rPr>
            </w:pPr>
            <w:r>
              <w:rPr>
                <w:rFonts w:ascii="Arial" w:hAnsi="Arial"/>
                <w:color w:val="auto"/>
                <w:sz w:val="20"/>
                <w:szCs w:val="20"/>
              </w:rPr>
              <w:drawing>
                <wp:anchor behindDoc="0" distT="0" distB="0" distL="0" distR="0" simplePos="0" locked="0" layoutInCell="0" allowOverlap="1" relativeHeight="159">
                  <wp:simplePos x="0" y="0"/>
                  <wp:positionH relativeFrom="margin">
                    <wp:posOffset>1161415</wp:posOffset>
                  </wp:positionH>
                  <wp:positionV relativeFrom="paragraph">
                    <wp:posOffset>73660</wp:posOffset>
                  </wp:positionV>
                  <wp:extent cx="965835" cy="1336040"/>
                  <wp:effectExtent l="0" t="0" r="0" b="0"/>
                  <wp:wrapSquare wrapText="largest"/>
                  <wp:docPr id="35" name="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14"/>
                          <pic:cNvPicPr>
                            <a:picLocks noChangeAspect="1" noChangeArrowheads="1"/>
                          </pic:cNvPicPr>
                        </pic:nvPicPr>
                        <pic:blipFill>
                          <a:blip r:embed="rId35"/>
                          <a:srcRect l="54972" t="0" r="-24" b="0"/>
                          <a:stretch>
                            <a:fillRect/>
                          </a:stretch>
                        </pic:blipFill>
                        <pic:spPr bwMode="auto">
                          <a:xfrm>
                            <a:off x="0" y="0"/>
                            <a:ext cx="965835" cy="1336040"/>
                          </a:xfrm>
                          <a:prstGeom prst="rect">
                            <a:avLst/>
                          </a:prstGeom>
                          <a:noFill/>
                        </pic:spPr>
                      </pic:pic>
                    </a:graphicData>
                  </a:graphic>
                </wp:anchor>
              </w:drawing>
            </w:r>
          </w:p>
        </w:tc>
        <w:tc>
          <w:tcPr>
            <w:tcW w:w="5545" w:type="dxa"/>
            <w:tcBorders>
              <w:top w:val="nil"/>
            </w:tcBorders>
          </w:tcPr>
          <w:p>
            <w:pPr>
              <w:pStyle w:val="Normal"/>
              <w:widowControl/>
              <w:suppressAutoHyphens w:val="true"/>
              <w:spacing w:before="0" w:after="0"/>
              <w:jc w:val="left"/>
              <w:rPr>
                <w:color w:val="auto"/>
                <w:sz w:val="22"/>
              </w:rPr>
            </w:pPr>
            <w:r>
              <w:rPr>
                <w:rFonts w:ascii="Arial" w:hAnsi="Arial"/>
                <w:b/>
                <w:bCs/>
                <w:color w:val="auto"/>
                <w:sz w:val="20"/>
                <w:szCs w:val="20"/>
              </w:rPr>
              <w:t>Šiukšliadėžė šunų ekskrementams</w:t>
            </w:r>
          </w:p>
          <w:p>
            <w:pPr>
              <w:pStyle w:val="Normal"/>
              <w:widowControl/>
              <w:suppressAutoHyphens w:val="true"/>
              <w:spacing w:before="0" w:after="0"/>
              <w:jc w:val="left"/>
              <w:rPr>
                <w:color w:val="auto"/>
                <w:sz w:val="22"/>
              </w:rPr>
            </w:pPr>
            <w:r>
              <w:rPr>
                <w:rFonts w:ascii="Arial" w:hAnsi="Arial"/>
                <w:b/>
                <w:bCs/>
                <w:color w:val="auto"/>
                <w:sz w:val="20"/>
                <w:szCs w:val="20"/>
              </w:rPr>
              <w:t xml:space="preserve">Matmenys: </w:t>
            </w:r>
            <w:r>
              <w:rPr>
                <w:rFonts w:ascii="Arial" w:hAnsi="Arial"/>
                <w:b w:val="false"/>
                <w:bCs w:val="false"/>
                <w:color w:val="auto"/>
                <w:sz w:val="20"/>
                <w:szCs w:val="20"/>
              </w:rPr>
              <w:t>450x200x1100 mm;</w:t>
            </w:r>
          </w:p>
          <w:p>
            <w:pPr>
              <w:pStyle w:val="Normal"/>
              <w:widowControl/>
              <w:suppressAutoHyphens w:val="true"/>
              <w:spacing w:before="0" w:after="0"/>
              <w:jc w:val="left"/>
              <w:rPr>
                <w:color w:val="auto"/>
                <w:sz w:val="22"/>
              </w:rPr>
            </w:pPr>
            <w:r>
              <w:rPr>
                <w:rFonts w:ascii="Arial" w:hAnsi="Arial"/>
                <w:b/>
                <w:bCs/>
                <w:color w:val="auto"/>
                <w:sz w:val="20"/>
                <w:szCs w:val="20"/>
              </w:rPr>
              <w:t xml:space="preserve">Aprašas: </w:t>
            </w:r>
            <w:r>
              <w:rPr>
                <w:rFonts w:ascii="Arial" w:hAnsi="Arial"/>
                <w:b w:val="false"/>
                <w:bCs w:val="false"/>
                <w:color w:val="000000"/>
                <w:sz w:val="20"/>
                <w:szCs w:val="20"/>
                <w:shd w:fill="auto" w:val="clear"/>
              </w:rPr>
              <w:t>Konteinerį laikanti atrama - bazė įtvirtinta, įbetonuojant 500 mm į gruntą. Su flanšine plokštele 180x150 mm su 2 skylėmis ø14 mm.</w:t>
            </w:r>
          </w:p>
          <w:p>
            <w:pPr>
              <w:pStyle w:val="Normal"/>
              <w:widowControl/>
              <w:suppressAutoHyphens w:val="true"/>
              <w:spacing w:before="0" w:after="0"/>
              <w:jc w:val="left"/>
              <w:rPr>
                <w:color w:val="auto"/>
                <w:sz w:val="22"/>
              </w:rPr>
            </w:pPr>
            <w:r>
              <w:rPr>
                <w:rFonts w:ascii="Arial" w:hAnsi="Arial"/>
                <w:b w:val="false"/>
                <w:bCs w:val="false"/>
                <w:color w:val="000000"/>
                <w:sz w:val="20"/>
                <w:szCs w:val="20"/>
                <w:shd w:fill="auto" w:val="clear"/>
              </w:rPr>
              <w:t>Rėmas – cinkuotas plienas, gaminys dažomas gamykloje, spalva nurodoma DP.</w:t>
            </w:r>
          </w:p>
          <w:p>
            <w:pPr>
              <w:pStyle w:val="Normal"/>
              <w:widowControl/>
              <w:suppressAutoHyphens w:val="true"/>
              <w:spacing w:before="0" w:after="0"/>
              <w:jc w:val="left"/>
              <w:rPr>
                <w:color w:val="auto"/>
                <w:sz w:val="22"/>
              </w:rPr>
            </w:pPr>
            <w:r>
              <w:rPr>
                <w:rFonts w:ascii="Arial" w:hAnsi="Arial"/>
                <w:b w:val="false"/>
                <w:bCs w:val="false"/>
                <w:color w:val="000000"/>
                <w:sz w:val="20"/>
                <w:szCs w:val="20"/>
                <w:shd w:fill="auto" w:val="clear"/>
              </w:rPr>
              <w:t>Talpa – 55 l.</w:t>
            </w:r>
          </w:p>
        </w:tc>
      </w:tr>
      <w:tr>
        <w:trPr>
          <w:trHeight w:val="2550" w:hRule="atLeast"/>
          <w:cantSplit w:val="true"/>
        </w:trPr>
        <w:tc>
          <w:tcPr>
            <w:tcW w:w="1120" w:type="dxa"/>
            <w:tcBorders>
              <w:top w:val="nil"/>
            </w:tcBorders>
            <w:vAlign w:val="center"/>
          </w:tcPr>
          <w:p>
            <w:pPr>
              <w:pStyle w:val="Normal"/>
              <w:widowControl/>
              <w:suppressAutoHyphens w:val="true"/>
              <w:spacing w:before="0" w:after="0"/>
              <w:jc w:val="center"/>
              <w:rPr>
                <w:color w:val="auto"/>
                <w:sz w:val="22"/>
              </w:rPr>
            </w:pPr>
            <w:r>
              <w:rPr>
                <w:rFonts w:ascii="Arial" w:hAnsi="Arial"/>
                <w:color w:val="auto"/>
                <w:sz w:val="20"/>
                <w:szCs w:val="20"/>
              </w:rPr>
              <w:t>GV-01</w:t>
            </w:r>
          </w:p>
        </w:tc>
        <w:tc>
          <w:tcPr>
            <w:tcW w:w="3595" w:type="dxa"/>
            <w:tcBorders>
              <w:top w:val="nil"/>
            </w:tcBorders>
            <w:vAlign w:val="center"/>
          </w:tcPr>
          <w:p>
            <w:pPr>
              <w:pStyle w:val="Normal"/>
              <w:widowControl/>
              <w:suppressAutoHyphens w:val="true"/>
              <w:spacing w:before="0" w:after="0"/>
              <w:jc w:val="left"/>
              <w:rPr>
                <w:rFonts w:ascii="Arial" w:hAnsi="Arial"/>
                <w:color w:val="auto"/>
                <w:sz w:val="20"/>
                <w:szCs w:val="20"/>
              </w:rPr>
            </w:pPr>
            <w:r>
              <w:rPr>
                <w:rFonts w:ascii="Arial" w:hAnsi="Arial"/>
                <w:color w:val="auto"/>
                <w:sz w:val="20"/>
                <w:szCs w:val="20"/>
              </w:rPr>
              <w:drawing>
                <wp:anchor behindDoc="0" distT="0" distB="0" distL="0" distR="0" simplePos="0" locked="0" layoutInCell="0" allowOverlap="1" relativeHeight="157">
                  <wp:simplePos x="0" y="0"/>
                  <wp:positionH relativeFrom="column">
                    <wp:posOffset>422910</wp:posOffset>
                  </wp:positionH>
                  <wp:positionV relativeFrom="paragraph">
                    <wp:posOffset>53975</wp:posOffset>
                  </wp:positionV>
                  <wp:extent cx="1468120" cy="1470660"/>
                  <wp:effectExtent l="0" t="0" r="0" b="0"/>
                  <wp:wrapSquare wrapText="largest"/>
                  <wp:docPr id="36" name="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5"/>
                          <pic:cNvPicPr>
                            <a:picLocks noChangeAspect="1" noChangeArrowheads="1"/>
                          </pic:cNvPicPr>
                        </pic:nvPicPr>
                        <pic:blipFill>
                          <a:blip r:embed="rId36"/>
                          <a:stretch>
                            <a:fillRect/>
                          </a:stretch>
                        </pic:blipFill>
                        <pic:spPr bwMode="auto">
                          <a:xfrm>
                            <a:off x="0" y="0"/>
                            <a:ext cx="1468120" cy="1470660"/>
                          </a:xfrm>
                          <a:prstGeom prst="rect">
                            <a:avLst/>
                          </a:prstGeom>
                          <a:noFill/>
                        </pic:spPr>
                      </pic:pic>
                    </a:graphicData>
                  </a:graphic>
                </wp:anchor>
              </w:drawing>
            </w:r>
          </w:p>
        </w:tc>
        <w:tc>
          <w:tcPr>
            <w:tcW w:w="5545" w:type="dxa"/>
            <w:tcBorders>
              <w:top w:val="nil"/>
            </w:tcBorders>
          </w:tcPr>
          <w:p>
            <w:pPr>
              <w:pStyle w:val="Normal"/>
              <w:widowControl/>
              <w:suppressAutoHyphens w:val="true"/>
              <w:spacing w:before="0" w:after="0"/>
              <w:jc w:val="left"/>
              <w:rPr>
                <w:color w:val="auto"/>
                <w:sz w:val="22"/>
              </w:rPr>
            </w:pPr>
            <w:r>
              <w:rPr>
                <w:rFonts w:ascii="Arial" w:hAnsi="Arial"/>
                <w:b/>
                <w:bCs/>
                <w:color w:val="auto"/>
                <w:sz w:val="20"/>
                <w:szCs w:val="20"/>
              </w:rPr>
              <w:t>Gėlių vazonas</w:t>
            </w:r>
          </w:p>
          <w:p>
            <w:pPr>
              <w:pStyle w:val="Normal"/>
              <w:widowControl/>
              <w:suppressAutoHyphens w:val="true"/>
              <w:spacing w:before="0" w:after="0"/>
              <w:jc w:val="left"/>
              <w:rPr>
                <w:color w:val="auto"/>
                <w:sz w:val="22"/>
              </w:rPr>
            </w:pPr>
            <w:r>
              <w:rPr>
                <w:rFonts w:ascii="Arial" w:hAnsi="Arial"/>
                <w:b/>
                <w:bCs/>
                <w:color w:val="auto"/>
                <w:sz w:val="20"/>
                <w:szCs w:val="20"/>
              </w:rPr>
              <w:t xml:space="preserve">Matmenys: </w:t>
            </w:r>
            <w:r>
              <w:rPr>
                <w:rFonts w:ascii="Arial" w:hAnsi="Arial"/>
                <w:b w:val="false"/>
                <w:bCs w:val="false"/>
                <w:color w:val="auto"/>
                <w:sz w:val="20"/>
                <w:szCs w:val="20"/>
              </w:rPr>
              <w:t>1100x370x650 mm</w:t>
            </w:r>
          </w:p>
          <w:p>
            <w:pPr>
              <w:pStyle w:val="Normal"/>
              <w:widowControl/>
              <w:suppressAutoHyphens w:val="true"/>
              <w:spacing w:before="0" w:after="0"/>
              <w:jc w:val="left"/>
              <w:rPr>
                <w:color w:val="auto"/>
                <w:sz w:val="22"/>
              </w:rPr>
            </w:pPr>
            <w:r>
              <w:rPr>
                <w:rFonts w:ascii="Arial" w:hAnsi="Arial"/>
                <w:b/>
                <w:bCs/>
                <w:color w:val="auto"/>
                <w:sz w:val="20"/>
                <w:szCs w:val="20"/>
              </w:rPr>
              <w:t xml:space="preserve">Aprašas: </w:t>
            </w:r>
            <w:r>
              <w:rPr>
                <w:rFonts w:ascii="Arial" w:hAnsi="Arial"/>
                <w:b w:val="false"/>
                <w:bCs w:val="false"/>
                <w:color w:val="auto"/>
                <w:sz w:val="20"/>
                <w:szCs w:val="20"/>
              </w:rPr>
              <w:t>Medžiaga – 2 mm plienas. Gaminys dažomas – spalva nurodoma DP. Svoris 40 kg. Gaminys su vandens nubėgimo angomis.</w:t>
            </w:r>
          </w:p>
        </w:tc>
      </w:tr>
      <w:tr>
        <w:trPr>
          <w:trHeight w:val="2550" w:hRule="atLeast"/>
          <w:cantSplit w:val="true"/>
        </w:trPr>
        <w:tc>
          <w:tcPr>
            <w:tcW w:w="1120" w:type="dxa"/>
            <w:tcBorders>
              <w:top w:val="nil"/>
            </w:tcBorders>
            <w:vAlign w:val="center"/>
          </w:tcPr>
          <w:p>
            <w:pPr>
              <w:pStyle w:val="Normal"/>
              <w:widowControl/>
              <w:suppressAutoHyphens w:val="true"/>
              <w:spacing w:before="0" w:after="0"/>
              <w:jc w:val="center"/>
              <w:rPr>
                <w:color w:val="auto"/>
                <w:sz w:val="22"/>
              </w:rPr>
            </w:pPr>
            <w:r>
              <w:rPr>
                <w:rFonts w:ascii="Arial" w:hAnsi="Arial"/>
                <w:color w:val="auto"/>
                <w:sz w:val="20"/>
                <w:szCs w:val="20"/>
              </w:rPr>
              <w:t>AS-01</w:t>
            </w:r>
          </w:p>
        </w:tc>
        <w:tc>
          <w:tcPr>
            <w:tcW w:w="3595" w:type="dxa"/>
            <w:tcBorders>
              <w:top w:val="nil"/>
            </w:tcBorders>
            <w:vAlign w:val="center"/>
          </w:tcPr>
          <w:p>
            <w:pPr>
              <w:pStyle w:val="Normal"/>
              <w:widowControl/>
              <w:suppressAutoHyphens w:val="true"/>
              <w:spacing w:before="0" w:after="0"/>
              <w:jc w:val="left"/>
              <w:rPr>
                <w:rFonts w:ascii="Arial" w:hAnsi="Arial"/>
                <w:color w:val="auto"/>
                <w:sz w:val="20"/>
                <w:szCs w:val="20"/>
              </w:rPr>
            </w:pPr>
            <w:r>
              <w:rPr>
                <w:rFonts w:ascii="Arial" w:hAnsi="Arial"/>
                <w:color w:val="auto"/>
                <w:sz w:val="20"/>
                <w:szCs w:val="20"/>
              </w:rPr>
              <w:drawing>
                <wp:anchor behindDoc="0" distT="0" distB="0" distL="0" distR="0" simplePos="0" locked="0" layoutInCell="0" allowOverlap="1" relativeHeight="156">
                  <wp:simplePos x="0" y="0"/>
                  <wp:positionH relativeFrom="margin">
                    <wp:posOffset>753745</wp:posOffset>
                  </wp:positionH>
                  <wp:positionV relativeFrom="paragraph">
                    <wp:posOffset>105410</wp:posOffset>
                  </wp:positionV>
                  <wp:extent cx="644525" cy="1612265"/>
                  <wp:effectExtent l="0" t="0" r="0" b="0"/>
                  <wp:wrapSquare wrapText="largest"/>
                  <wp:docPr id="37" name="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16"/>
                          <pic:cNvPicPr>
                            <a:picLocks noChangeAspect="1" noChangeArrowheads="1"/>
                          </pic:cNvPicPr>
                        </pic:nvPicPr>
                        <pic:blipFill>
                          <a:blip r:embed="rId37"/>
                          <a:stretch>
                            <a:fillRect/>
                          </a:stretch>
                        </pic:blipFill>
                        <pic:spPr bwMode="auto">
                          <a:xfrm>
                            <a:off x="0" y="0"/>
                            <a:ext cx="644525" cy="1612265"/>
                          </a:xfrm>
                          <a:prstGeom prst="rect">
                            <a:avLst/>
                          </a:prstGeom>
                          <a:noFill/>
                        </pic:spPr>
                      </pic:pic>
                    </a:graphicData>
                  </a:graphic>
                </wp:anchor>
              </w:drawing>
            </w:r>
          </w:p>
        </w:tc>
        <w:tc>
          <w:tcPr>
            <w:tcW w:w="5545" w:type="dxa"/>
            <w:tcBorders>
              <w:top w:val="nil"/>
            </w:tcBorders>
          </w:tcPr>
          <w:p>
            <w:pPr>
              <w:pStyle w:val="Normal"/>
              <w:suppressAutoHyphens w:val="true"/>
              <w:spacing w:before="0" w:after="0"/>
              <w:jc w:val="left"/>
              <w:rPr>
                <w:color w:val="auto"/>
                <w:sz w:val="22"/>
              </w:rPr>
            </w:pPr>
            <w:r>
              <w:rPr>
                <w:rFonts w:ascii="Arial" w:hAnsi="Arial"/>
                <w:b/>
                <w:bCs/>
                <w:color w:val="auto"/>
                <w:sz w:val="20"/>
                <w:szCs w:val="20"/>
              </w:rPr>
              <w:t>Atitvėrimo stulpelis</w:t>
            </w:r>
          </w:p>
          <w:p>
            <w:pPr>
              <w:pStyle w:val="Normal"/>
              <w:suppressAutoHyphens w:val="true"/>
              <w:spacing w:before="0" w:after="0"/>
              <w:jc w:val="left"/>
              <w:rPr>
                <w:color w:val="auto"/>
                <w:sz w:val="22"/>
              </w:rPr>
            </w:pPr>
            <w:r>
              <w:rPr>
                <w:rFonts w:ascii="Arial" w:hAnsi="Arial"/>
                <w:b/>
                <w:bCs/>
                <w:color w:val="auto"/>
                <w:sz w:val="20"/>
                <w:szCs w:val="20"/>
              </w:rPr>
              <w:t xml:space="preserve">Aukštis: </w:t>
            </w:r>
            <w:r>
              <w:rPr>
                <w:rFonts w:ascii="Arial" w:hAnsi="Arial"/>
                <w:b w:val="false"/>
                <w:bCs w:val="false"/>
                <w:color w:val="auto"/>
                <w:sz w:val="20"/>
                <w:szCs w:val="20"/>
              </w:rPr>
              <w:t>900 mm</w:t>
            </w:r>
          </w:p>
          <w:p>
            <w:pPr>
              <w:pStyle w:val="Normal"/>
              <w:suppressAutoHyphens w:val="true"/>
              <w:spacing w:before="0" w:after="0"/>
              <w:jc w:val="left"/>
              <w:rPr>
                <w:color w:val="auto"/>
                <w:sz w:val="22"/>
              </w:rPr>
            </w:pPr>
            <w:r>
              <w:rPr>
                <w:rFonts w:ascii="Arial" w:hAnsi="Arial"/>
                <w:b/>
                <w:bCs/>
                <w:color w:val="auto"/>
                <w:sz w:val="20"/>
                <w:szCs w:val="20"/>
              </w:rPr>
              <w:t xml:space="preserve">Aprašas: </w:t>
            </w:r>
            <w:r>
              <w:rPr>
                <w:rFonts w:ascii="Arial" w:hAnsi="Arial"/>
                <w:b w:val="false"/>
                <w:bCs w:val="false"/>
                <w:color w:val="auto"/>
                <w:sz w:val="20"/>
                <w:szCs w:val="20"/>
              </w:rPr>
              <w:t>Pagamintas iš galvanizuoto plieno.</w:t>
            </w:r>
          </w:p>
          <w:p>
            <w:pPr>
              <w:pStyle w:val="Normal"/>
              <w:suppressAutoHyphens w:val="true"/>
              <w:spacing w:before="0" w:after="0"/>
              <w:jc w:val="left"/>
              <w:rPr>
                <w:color w:val="auto"/>
                <w:sz w:val="22"/>
              </w:rPr>
            </w:pPr>
            <w:r>
              <w:rPr>
                <w:rFonts w:ascii="Arial" w:hAnsi="Arial"/>
                <w:b w:val="false"/>
                <w:bCs w:val="false"/>
                <w:color w:val="auto"/>
                <w:sz w:val="20"/>
                <w:szCs w:val="20"/>
              </w:rPr>
              <w:t>Atrama 82,5 mm skersmens, viršutinėje dalyje ties dangteliu skersmuo mažesnis.</w:t>
            </w:r>
          </w:p>
          <w:p>
            <w:pPr>
              <w:pStyle w:val="Normal"/>
              <w:suppressAutoHyphens w:val="true"/>
              <w:spacing w:before="0" w:after="0"/>
              <w:jc w:val="left"/>
              <w:rPr>
                <w:color w:val="auto"/>
                <w:sz w:val="22"/>
              </w:rPr>
            </w:pPr>
            <w:r>
              <w:rPr>
                <w:rFonts w:ascii="Arial" w:hAnsi="Arial"/>
                <w:b w:val="false"/>
                <w:bCs w:val="false"/>
                <w:color w:val="auto"/>
                <w:sz w:val="20"/>
                <w:szCs w:val="20"/>
              </w:rPr>
              <w:t>Atrama turi 82,5 mm dangtelį, pagamintą iš aliuminio.</w:t>
            </w:r>
          </w:p>
          <w:p>
            <w:pPr>
              <w:pStyle w:val="Normal"/>
              <w:suppressAutoHyphens w:val="true"/>
              <w:spacing w:before="0" w:after="0"/>
              <w:jc w:val="left"/>
              <w:rPr>
                <w:color w:val="auto"/>
                <w:sz w:val="22"/>
              </w:rPr>
            </w:pPr>
            <w:r>
              <w:rPr>
                <w:rFonts w:ascii="Arial" w:hAnsi="Arial"/>
                <w:b w:val="false"/>
                <w:bCs w:val="false"/>
                <w:color w:val="auto"/>
                <w:sz w:val="20"/>
                <w:szCs w:val="20"/>
              </w:rPr>
              <w:t>Stulpelis prie žemės paviršiaus turi tvirtinimo plokštelę ∅160 mm.</w:t>
            </w:r>
          </w:p>
          <w:p>
            <w:pPr>
              <w:pStyle w:val="Normal"/>
              <w:suppressAutoHyphens w:val="true"/>
              <w:spacing w:before="0" w:after="0"/>
              <w:jc w:val="left"/>
              <w:rPr>
                <w:color w:val="auto"/>
                <w:sz w:val="22"/>
              </w:rPr>
            </w:pPr>
            <w:r>
              <w:rPr>
                <w:rFonts w:ascii="Arial" w:hAnsi="Arial"/>
                <w:b w:val="false"/>
                <w:bCs w:val="false"/>
                <w:color w:val="auto"/>
                <w:sz w:val="20"/>
                <w:szCs w:val="20"/>
              </w:rPr>
              <w:t>Gaminys dažomas gamykloje, spalva nurodoma DP.</w:t>
            </w:r>
          </w:p>
          <w:p>
            <w:pPr>
              <w:pStyle w:val="Normal"/>
              <w:suppressAutoHyphens w:val="true"/>
              <w:spacing w:before="0" w:after="0"/>
              <w:jc w:val="left"/>
              <w:rPr>
                <w:color w:val="auto"/>
                <w:sz w:val="22"/>
              </w:rPr>
            </w:pPr>
            <w:r>
              <w:rPr>
                <w:rFonts w:ascii="Arial" w:hAnsi="Arial"/>
                <w:b w:val="false"/>
                <w:bCs w:val="false"/>
                <w:color w:val="auto"/>
                <w:sz w:val="20"/>
                <w:szCs w:val="20"/>
              </w:rPr>
              <w:t>Svoris 11kg.</w:t>
            </w:r>
          </w:p>
          <w:p>
            <w:pPr>
              <w:pStyle w:val="Normal"/>
              <w:suppressAutoHyphens w:val="true"/>
              <w:spacing w:before="0" w:after="0"/>
              <w:jc w:val="left"/>
              <w:rPr>
                <w:rFonts w:ascii="Arial" w:hAnsi="Arial"/>
                <w:b w:val="false"/>
                <w:bCs w:val="false"/>
                <w:color w:val="auto"/>
                <w:sz w:val="20"/>
                <w:szCs w:val="20"/>
              </w:rPr>
            </w:pPr>
            <w:r>
              <w:rPr>
                <w:rFonts w:ascii="Arial" w:hAnsi="Arial"/>
                <w:b w:val="false"/>
                <w:bCs w:val="false"/>
                <w:color w:val="auto"/>
                <w:sz w:val="20"/>
                <w:szCs w:val="20"/>
              </w:rPr>
            </w:r>
          </w:p>
        </w:tc>
      </w:tr>
      <w:tr>
        <w:trPr>
          <w:trHeight w:val="2550" w:hRule="atLeast"/>
          <w:cantSplit w:val="true"/>
        </w:trPr>
        <w:tc>
          <w:tcPr>
            <w:tcW w:w="1120" w:type="dxa"/>
            <w:tcBorders>
              <w:top w:val="nil"/>
            </w:tcBorders>
            <w:vAlign w:val="center"/>
          </w:tcPr>
          <w:p>
            <w:pPr>
              <w:pStyle w:val="Normal"/>
              <w:widowControl/>
              <w:suppressAutoHyphens w:val="true"/>
              <w:spacing w:before="0" w:after="0"/>
              <w:jc w:val="center"/>
              <w:rPr>
                <w:color w:val="auto"/>
                <w:sz w:val="22"/>
              </w:rPr>
            </w:pPr>
            <w:r>
              <w:rPr>
                <w:rFonts w:ascii="Arial" w:hAnsi="Arial"/>
                <w:color w:val="auto"/>
                <w:sz w:val="20"/>
                <w:szCs w:val="20"/>
              </w:rPr>
              <w:t>PB-01</w:t>
            </w:r>
          </w:p>
        </w:tc>
        <w:tc>
          <w:tcPr>
            <w:tcW w:w="3595" w:type="dxa"/>
            <w:tcBorders>
              <w:top w:val="nil"/>
            </w:tcBorders>
            <w:vAlign w:val="center"/>
          </w:tcPr>
          <w:p>
            <w:pPr>
              <w:pStyle w:val="Normal"/>
              <w:widowControl/>
              <w:suppressAutoHyphens w:val="true"/>
              <w:spacing w:before="0" w:after="0"/>
              <w:jc w:val="left"/>
              <w:rPr>
                <w:rFonts w:ascii="Arial" w:hAnsi="Arial"/>
                <w:b/>
                <w:bCs/>
                <w:color w:val="auto"/>
                <w:sz w:val="20"/>
                <w:szCs w:val="20"/>
              </w:rPr>
            </w:pPr>
            <w:r>
              <w:rPr>
                <w:rFonts w:ascii="Arial" w:hAnsi="Arial"/>
                <w:b/>
                <w:bCs/>
                <w:color w:val="auto"/>
                <w:sz w:val="20"/>
                <w:szCs w:val="20"/>
              </w:rPr>
              <w:drawing>
                <wp:anchor behindDoc="0" distT="0" distB="0" distL="0" distR="0" simplePos="0" locked="0" layoutInCell="0" allowOverlap="1" relativeHeight="155">
                  <wp:simplePos x="0" y="0"/>
                  <wp:positionH relativeFrom="column">
                    <wp:posOffset>95885</wp:posOffset>
                  </wp:positionH>
                  <wp:positionV relativeFrom="paragraph">
                    <wp:posOffset>45085</wp:posOffset>
                  </wp:positionV>
                  <wp:extent cx="1620520" cy="1401445"/>
                  <wp:effectExtent l="0" t="0" r="0" b="0"/>
                  <wp:wrapSquare wrapText="largest"/>
                  <wp:docPr id="38" name="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7"/>
                          <pic:cNvPicPr>
                            <a:picLocks noChangeAspect="1" noChangeArrowheads="1"/>
                          </pic:cNvPicPr>
                        </pic:nvPicPr>
                        <pic:blipFill>
                          <a:blip r:embed="rId38"/>
                          <a:stretch>
                            <a:fillRect/>
                          </a:stretch>
                        </pic:blipFill>
                        <pic:spPr bwMode="auto">
                          <a:xfrm>
                            <a:off x="0" y="0"/>
                            <a:ext cx="1620520" cy="1401445"/>
                          </a:xfrm>
                          <a:prstGeom prst="rect">
                            <a:avLst/>
                          </a:prstGeom>
                          <a:noFill/>
                        </pic:spPr>
                      </pic:pic>
                    </a:graphicData>
                  </a:graphic>
                </wp:anchor>
              </w:drawing>
            </w:r>
          </w:p>
        </w:tc>
        <w:tc>
          <w:tcPr>
            <w:tcW w:w="5545" w:type="dxa"/>
            <w:tcBorders>
              <w:top w:val="nil"/>
            </w:tcBorders>
          </w:tcPr>
          <w:p>
            <w:pPr>
              <w:pStyle w:val="Normal"/>
              <w:suppressAutoHyphens w:val="true"/>
              <w:spacing w:before="0" w:after="0"/>
              <w:jc w:val="left"/>
              <w:rPr>
                <w:color w:val="auto"/>
                <w:sz w:val="22"/>
              </w:rPr>
            </w:pPr>
            <w:r>
              <w:rPr>
                <w:rFonts w:ascii="Arial" w:hAnsi="Arial"/>
                <w:b/>
                <w:bCs/>
                <w:color w:val="auto"/>
                <w:sz w:val="20"/>
                <w:szCs w:val="20"/>
              </w:rPr>
              <w:t>Parkavimo bortelis – ratų atmušėjas</w:t>
            </w:r>
          </w:p>
          <w:p>
            <w:pPr>
              <w:pStyle w:val="Normal"/>
              <w:suppressAutoHyphens w:val="true"/>
              <w:spacing w:before="0" w:after="0"/>
              <w:jc w:val="left"/>
              <w:rPr>
                <w:color w:val="auto"/>
                <w:sz w:val="22"/>
              </w:rPr>
            </w:pPr>
            <w:r>
              <w:rPr>
                <w:rFonts w:ascii="Arial" w:hAnsi="Arial"/>
                <w:b/>
                <w:bCs/>
                <w:color w:val="auto"/>
                <w:sz w:val="20"/>
                <w:szCs w:val="20"/>
              </w:rPr>
              <w:t xml:space="preserve">Matmenys: </w:t>
            </w:r>
            <w:r>
              <w:rPr>
                <w:rFonts w:ascii="Arial" w:hAnsi="Arial"/>
                <w:b/>
                <w:bCs/>
                <w:i w:val="false"/>
                <w:iCs w:val="false"/>
                <w:color w:val="auto"/>
                <w:sz w:val="20"/>
                <w:szCs w:val="20"/>
              </w:rPr>
              <w:t>1200x220x110 mm</w:t>
            </w:r>
          </w:p>
          <w:p>
            <w:pPr>
              <w:pStyle w:val="Normal"/>
              <w:suppressAutoHyphens w:val="true"/>
              <w:spacing w:before="0" w:after="0"/>
              <w:jc w:val="left"/>
              <w:rPr>
                <w:color w:val="auto"/>
                <w:sz w:val="22"/>
              </w:rPr>
            </w:pPr>
            <w:r>
              <w:rPr>
                <w:rFonts w:ascii="Arial" w:hAnsi="Arial"/>
                <w:b/>
                <w:bCs/>
                <w:i w:val="false"/>
                <w:iCs w:val="false"/>
                <w:color w:val="auto"/>
                <w:sz w:val="20"/>
                <w:szCs w:val="20"/>
              </w:rPr>
              <w:t xml:space="preserve">Aprašas: </w:t>
            </w:r>
            <w:r>
              <w:rPr>
                <w:rFonts w:ascii="Arial" w:hAnsi="Arial"/>
                <w:b w:val="false"/>
                <w:bCs w:val="false"/>
                <w:i w:val="false"/>
                <w:iCs w:val="false"/>
                <w:color w:val="auto"/>
                <w:sz w:val="20"/>
                <w:szCs w:val="20"/>
              </w:rPr>
              <w:t>Pagamintas iš galvanizuoto plieno. Tvirtinamas</w:t>
            </w:r>
            <w:r>
              <w:rPr>
                <w:b w:val="false"/>
                <w:bCs w:val="false"/>
                <w:i w:val="false"/>
                <w:iCs w:val="false"/>
                <w:color w:val="auto"/>
                <w:sz w:val="22"/>
              </w:rPr>
              <w:t xml:space="preserve"> </w:t>
            </w:r>
            <w:r>
              <w:rPr>
                <w:rFonts w:eastAsia="Times New Roman" w:cs="Times New Roman" w:ascii="Arial" w:hAnsi="Arial"/>
                <w:b w:val="false"/>
                <w:bCs w:val="false"/>
                <w:i w:val="false"/>
                <w:iCs w:val="false"/>
                <w:color w:val="auto"/>
                <w:kern w:val="0"/>
                <w:sz w:val="20"/>
                <w:szCs w:val="20"/>
                <w:lang w:val="lt-LT" w:eastAsia="en-US" w:bidi="ar-SA"/>
              </w:rPr>
              <w:t>naudojant du srieginius strypus, 12 x 150 mm.</w:t>
            </w:r>
          </w:p>
          <w:p>
            <w:pPr>
              <w:pStyle w:val="Normal"/>
              <w:suppressAutoHyphens w:val="true"/>
              <w:spacing w:before="0" w:after="0"/>
              <w:jc w:val="left"/>
              <w:rPr>
                <w:color w:val="auto"/>
                <w:sz w:val="22"/>
              </w:rPr>
            </w:pPr>
            <w:r>
              <w:rPr>
                <w:rFonts w:eastAsia="Times New Roman" w:cs="Times New Roman" w:ascii="Arial" w:hAnsi="Arial"/>
                <w:b w:val="false"/>
                <w:bCs w:val="false"/>
                <w:i w:val="false"/>
                <w:iCs w:val="false"/>
                <w:color w:val="auto"/>
                <w:kern w:val="0"/>
                <w:sz w:val="20"/>
                <w:szCs w:val="20"/>
                <w:lang w:val="lt-LT" w:eastAsia="en-US" w:bidi="ar-SA"/>
              </w:rPr>
              <w:t>Gaminys dažomas gamykloje, spalva nurodoma DP.</w:t>
            </w:r>
          </w:p>
        </w:tc>
      </w:tr>
      <w:tr>
        <w:trPr>
          <w:trHeight w:val="2550" w:hRule="atLeast"/>
          <w:cantSplit w:val="true"/>
        </w:trPr>
        <w:tc>
          <w:tcPr>
            <w:tcW w:w="1120" w:type="dxa"/>
            <w:tcBorders>
              <w:top w:val="nil"/>
            </w:tcBorders>
            <w:vAlign w:val="center"/>
          </w:tcPr>
          <w:p>
            <w:pPr>
              <w:pStyle w:val="Normal"/>
              <w:widowControl/>
              <w:suppressAutoHyphens w:val="true"/>
              <w:spacing w:before="0" w:after="0"/>
              <w:jc w:val="center"/>
              <w:rPr>
                <w:color w:val="auto"/>
                <w:sz w:val="22"/>
              </w:rPr>
            </w:pPr>
            <w:r>
              <w:rPr>
                <w:rFonts w:ascii="Arial" w:hAnsi="Arial"/>
                <w:color w:val="auto"/>
                <w:sz w:val="20"/>
                <w:szCs w:val="20"/>
              </w:rPr>
              <w:t>D-1</w:t>
            </w:r>
          </w:p>
        </w:tc>
        <w:tc>
          <w:tcPr>
            <w:tcW w:w="3595" w:type="dxa"/>
            <w:tcBorders>
              <w:top w:val="nil"/>
            </w:tcBorders>
            <w:vAlign w:val="center"/>
          </w:tcPr>
          <w:p>
            <w:pPr>
              <w:pStyle w:val="Normal"/>
              <w:widowControl/>
              <w:suppressAutoHyphens w:val="true"/>
              <w:spacing w:before="0" w:after="0"/>
              <w:jc w:val="left"/>
              <w:rPr>
                <w:color w:val="auto"/>
              </w:rPr>
            </w:pPr>
            <w:r>
              <w:rPr>
                <w:color w:val="auto"/>
                <w:sz w:val="22"/>
              </w:rPr>
              <w:drawing>
                <wp:anchor behindDoc="0" distT="0" distB="0" distL="0" distR="0" simplePos="0" locked="0" layoutInCell="0" allowOverlap="1" relativeHeight="146">
                  <wp:simplePos x="0" y="0"/>
                  <wp:positionH relativeFrom="margin">
                    <wp:posOffset>701675</wp:posOffset>
                  </wp:positionH>
                  <wp:positionV relativeFrom="paragraph">
                    <wp:posOffset>635</wp:posOffset>
                  </wp:positionV>
                  <wp:extent cx="1317625" cy="1361440"/>
                  <wp:effectExtent l="0" t="0" r="0" b="0"/>
                  <wp:wrapSquare wrapText="largest"/>
                  <wp:docPr id="39" name="Image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39"/>
                          <pic:cNvPicPr>
                            <a:picLocks noChangeAspect="1" noChangeArrowheads="1"/>
                          </pic:cNvPicPr>
                        </pic:nvPicPr>
                        <pic:blipFill>
                          <a:blip r:embed="rId39"/>
                          <a:srcRect l="-923" t="-891" r="-923" b="-891"/>
                          <a:stretch>
                            <a:fillRect/>
                          </a:stretch>
                        </pic:blipFill>
                        <pic:spPr bwMode="auto">
                          <a:xfrm>
                            <a:off x="0" y="0"/>
                            <a:ext cx="1317625" cy="1361440"/>
                          </a:xfrm>
                          <a:prstGeom prst="rect">
                            <a:avLst/>
                          </a:prstGeom>
                          <a:noFill/>
                        </pic:spPr>
                      </pic:pic>
                    </a:graphicData>
                  </a:graphic>
                </wp:anchor>
              </w:drawing>
            </w:r>
          </w:p>
        </w:tc>
        <w:tc>
          <w:tcPr>
            <w:tcW w:w="5545" w:type="dxa"/>
            <w:tcBorders>
              <w:top w:val="nil"/>
            </w:tcBorders>
          </w:tcPr>
          <w:p>
            <w:pPr>
              <w:pStyle w:val="Normal"/>
              <w:suppressAutoHyphens w:val="true"/>
              <w:spacing w:before="0" w:after="0"/>
              <w:jc w:val="left"/>
              <w:rPr>
                <w:color w:val="auto"/>
                <w:sz w:val="22"/>
              </w:rPr>
            </w:pPr>
            <w:r>
              <w:rPr>
                <w:rFonts w:ascii="Arial" w:hAnsi="Arial"/>
                <w:b/>
                <w:bCs/>
                <w:i w:val="false"/>
                <w:iCs w:val="false"/>
                <w:color w:val="auto"/>
                <w:sz w:val="20"/>
                <w:szCs w:val="20"/>
              </w:rPr>
              <w:t>Dviračių stovas</w:t>
            </w:r>
          </w:p>
          <w:p>
            <w:pPr>
              <w:pStyle w:val="Normal"/>
              <w:suppressAutoHyphens w:val="true"/>
              <w:spacing w:before="0" w:after="0"/>
              <w:jc w:val="left"/>
              <w:rPr>
                <w:color w:val="auto"/>
                <w:sz w:val="22"/>
              </w:rPr>
            </w:pPr>
            <w:r>
              <w:rPr>
                <w:rFonts w:ascii="Arial" w:hAnsi="Arial"/>
                <w:b/>
                <w:bCs/>
                <w:i w:val="false"/>
                <w:iCs w:val="false"/>
                <w:color w:val="auto"/>
                <w:sz w:val="20"/>
                <w:szCs w:val="20"/>
              </w:rPr>
              <w:t>Matmenys:</w:t>
            </w:r>
            <w:r>
              <w:rPr>
                <w:rFonts w:ascii="Arial" w:hAnsi="Arial"/>
                <w:b w:val="false"/>
                <w:bCs w:val="false"/>
                <w:i w:val="false"/>
                <w:iCs w:val="false"/>
                <w:color w:val="auto"/>
                <w:sz w:val="20"/>
                <w:szCs w:val="20"/>
              </w:rPr>
              <w:t xml:space="preserve"> 800x100x750* mm</w:t>
            </w:r>
          </w:p>
          <w:p>
            <w:pPr>
              <w:pStyle w:val="Normal"/>
              <w:suppressAutoHyphens w:val="true"/>
              <w:spacing w:before="0" w:after="0"/>
              <w:jc w:val="left"/>
              <w:rPr>
                <w:color w:val="auto"/>
                <w:sz w:val="22"/>
              </w:rPr>
            </w:pPr>
            <w:r>
              <w:rPr>
                <w:rFonts w:ascii="Arial" w:hAnsi="Arial"/>
                <w:b/>
                <w:bCs/>
                <w:i w:val="false"/>
                <w:iCs w:val="false"/>
                <w:color w:val="auto"/>
                <w:sz w:val="20"/>
                <w:szCs w:val="20"/>
              </w:rPr>
              <w:t>Aprašas:</w:t>
            </w:r>
            <w:r>
              <w:rPr>
                <w:rFonts w:ascii="Arial" w:hAnsi="Arial"/>
                <w:b w:val="false"/>
                <w:bCs w:val="false"/>
                <w:i w:val="false"/>
                <w:iCs w:val="false"/>
                <w:color w:val="auto"/>
                <w:sz w:val="20"/>
                <w:szCs w:val="20"/>
              </w:rPr>
              <w:t xml:space="preserve"> Dviračių stovas pagamintas iš nerūdijančio plieno vamzdžio (∅70* mm). Dviračių stovas tvirtinamas prie pamato įbetonuojant. Stovo sandūra su danga uždengiama nerūdijančio plieno detale ir plokštele.</w:t>
            </w:r>
          </w:p>
          <w:p>
            <w:pPr>
              <w:pStyle w:val="Normal"/>
              <w:suppressAutoHyphens w:val="true"/>
              <w:spacing w:before="0" w:after="0"/>
              <w:jc w:val="left"/>
              <w:rPr>
                <w:color w:val="auto"/>
              </w:rPr>
            </w:pPr>
            <w:r>
              <w:rPr>
                <w:rFonts w:ascii="Arial" w:hAnsi="Arial"/>
                <w:b w:val="false"/>
                <w:bCs w:val="false"/>
                <w:i w:val="false"/>
                <w:iCs w:val="false"/>
                <w:color w:val="auto"/>
                <w:sz w:val="20"/>
                <w:szCs w:val="20"/>
              </w:rPr>
              <w:t xml:space="preserve">Pamatai: Betono </w:t>
            </w:r>
            <w:r>
              <w:rPr>
                <w:rFonts w:ascii="Arial;sans-serif" w:hAnsi="Arial;sans-serif"/>
                <w:b w:val="false"/>
                <w:bCs/>
                <w:i w:val="false"/>
                <w:iCs w:val="false"/>
                <w:caps w:val="false"/>
                <w:smallCaps w:val="false"/>
                <w:color w:val="auto"/>
                <w:spacing w:val="0"/>
                <w:sz w:val="20"/>
                <w:szCs w:val="20"/>
              </w:rPr>
              <w:t>C30/37 XC2</w:t>
            </w:r>
            <w:r>
              <w:rPr>
                <w:rFonts w:ascii="Arial" w:hAnsi="Arial"/>
                <w:b/>
                <w:bCs/>
                <w:i w:val="false"/>
                <w:iCs w:val="false"/>
                <w:color w:val="auto"/>
                <w:sz w:val="20"/>
                <w:szCs w:val="20"/>
              </w:rPr>
              <w:t xml:space="preserve"> </w:t>
            </w:r>
            <w:r>
              <w:rPr>
                <w:rFonts w:ascii="Arial" w:hAnsi="Arial"/>
                <w:b w:val="false"/>
                <w:bCs w:val="false"/>
                <w:i w:val="false"/>
                <w:iCs w:val="false"/>
                <w:color w:val="auto"/>
                <w:sz w:val="20"/>
                <w:szCs w:val="20"/>
              </w:rPr>
              <w:t>pamatas po atramomis (∅ 200* mm, gylis ≥ 1200* mm).</w:t>
            </w:r>
          </w:p>
        </w:tc>
      </w:tr>
      <w:tr>
        <w:trPr>
          <w:trHeight w:val="2550" w:hRule="atLeast"/>
          <w:cantSplit w:val="true"/>
        </w:trPr>
        <w:tc>
          <w:tcPr>
            <w:tcW w:w="1120" w:type="dxa"/>
            <w:tcBorders>
              <w:top w:val="nil"/>
            </w:tcBorders>
            <w:vAlign w:val="center"/>
          </w:tcPr>
          <w:p>
            <w:pPr>
              <w:pStyle w:val="Normal"/>
              <w:widowControl/>
              <w:suppressAutoHyphens w:val="true"/>
              <w:spacing w:before="0" w:after="0"/>
              <w:jc w:val="center"/>
              <w:rPr>
                <w:color w:val="auto"/>
                <w:sz w:val="22"/>
              </w:rPr>
            </w:pPr>
            <w:r>
              <w:rPr>
                <w:rFonts w:ascii="Arial" w:hAnsi="Arial"/>
                <w:color w:val="auto"/>
                <w:sz w:val="20"/>
                <w:szCs w:val="20"/>
              </w:rPr>
              <w:t>VS-01</w:t>
            </w:r>
          </w:p>
        </w:tc>
        <w:tc>
          <w:tcPr>
            <w:tcW w:w="3595" w:type="dxa"/>
            <w:tcBorders>
              <w:top w:val="nil"/>
            </w:tcBorders>
            <w:vAlign w:val="center"/>
          </w:tcPr>
          <w:p>
            <w:pPr>
              <w:pStyle w:val="Normal"/>
              <w:widowControl/>
              <w:suppressAutoHyphens w:val="true"/>
              <w:spacing w:before="0" w:after="0"/>
              <w:jc w:val="left"/>
              <w:rPr>
                <w:rFonts w:ascii="Arial" w:hAnsi="Arial"/>
                <w:b/>
                <w:bCs/>
                <w:color w:val="auto"/>
                <w:sz w:val="20"/>
                <w:szCs w:val="20"/>
              </w:rPr>
            </w:pPr>
            <w:r>
              <w:rPr>
                <w:rFonts w:ascii="Arial" w:hAnsi="Arial"/>
                <w:b/>
                <w:bCs/>
                <w:color w:val="auto"/>
                <w:sz w:val="20"/>
                <w:szCs w:val="20"/>
              </w:rPr>
              <w:drawing>
                <wp:anchor behindDoc="0" distT="0" distB="0" distL="0" distR="0" simplePos="0" locked="0" layoutInCell="0" allowOverlap="1" relativeHeight="154">
                  <wp:simplePos x="0" y="0"/>
                  <wp:positionH relativeFrom="column">
                    <wp:posOffset>236855</wp:posOffset>
                  </wp:positionH>
                  <wp:positionV relativeFrom="paragraph">
                    <wp:posOffset>46355</wp:posOffset>
                  </wp:positionV>
                  <wp:extent cx="1496695" cy="1496695"/>
                  <wp:effectExtent l="0" t="0" r="0" b="0"/>
                  <wp:wrapSquare wrapText="largest"/>
                  <wp:docPr id="40" name="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8"/>
                          <pic:cNvPicPr>
                            <a:picLocks noChangeAspect="1" noChangeArrowheads="1"/>
                          </pic:cNvPicPr>
                        </pic:nvPicPr>
                        <pic:blipFill>
                          <a:blip r:embed="rId40"/>
                          <a:stretch>
                            <a:fillRect/>
                          </a:stretch>
                        </pic:blipFill>
                        <pic:spPr bwMode="auto">
                          <a:xfrm>
                            <a:off x="0" y="0"/>
                            <a:ext cx="1496695" cy="1496695"/>
                          </a:xfrm>
                          <a:prstGeom prst="rect">
                            <a:avLst/>
                          </a:prstGeom>
                          <a:noFill/>
                        </pic:spPr>
                      </pic:pic>
                    </a:graphicData>
                  </a:graphic>
                </wp:anchor>
              </w:drawing>
            </w:r>
          </w:p>
          <w:p>
            <w:pPr>
              <w:pStyle w:val="Normal"/>
              <w:widowControl/>
              <w:suppressAutoHyphens w:val="true"/>
              <w:spacing w:before="0" w:after="0"/>
              <w:jc w:val="left"/>
              <w:rPr>
                <w:rFonts w:ascii="Arial" w:hAnsi="Arial"/>
                <w:b/>
                <w:bCs/>
                <w:color w:val="auto"/>
                <w:sz w:val="20"/>
                <w:szCs w:val="20"/>
              </w:rPr>
            </w:pPr>
            <w:r>
              <w:rPr>
                <w:rFonts w:ascii="Arial" w:hAnsi="Arial"/>
                <w:b/>
                <w:bCs/>
                <w:color w:val="auto"/>
                <w:sz w:val="20"/>
                <w:szCs w:val="20"/>
              </w:rPr>
            </w:r>
          </w:p>
        </w:tc>
        <w:tc>
          <w:tcPr>
            <w:tcW w:w="5545" w:type="dxa"/>
            <w:tcBorders>
              <w:top w:val="nil"/>
            </w:tcBorders>
          </w:tcPr>
          <w:p>
            <w:pPr>
              <w:pStyle w:val="Normal"/>
              <w:suppressAutoHyphens w:val="true"/>
              <w:spacing w:before="0" w:after="0"/>
              <w:jc w:val="left"/>
              <w:rPr>
                <w:color w:val="auto"/>
                <w:sz w:val="22"/>
              </w:rPr>
            </w:pPr>
            <w:r>
              <w:rPr>
                <w:rFonts w:ascii="Arial" w:hAnsi="Arial"/>
                <w:b/>
                <w:bCs/>
                <w:i w:val="false"/>
                <w:iCs w:val="false"/>
                <w:color w:val="auto"/>
                <w:sz w:val="20"/>
                <w:szCs w:val="20"/>
              </w:rPr>
              <w:t>Geriamo vandens kolonėlė</w:t>
            </w:r>
          </w:p>
          <w:p>
            <w:pPr>
              <w:pStyle w:val="Normal"/>
              <w:suppressAutoHyphens w:val="true"/>
              <w:spacing w:before="0" w:after="0"/>
              <w:jc w:val="left"/>
              <w:rPr>
                <w:color w:val="auto"/>
                <w:sz w:val="22"/>
              </w:rPr>
            </w:pPr>
            <w:r>
              <w:rPr>
                <w:rFonts w:ascii="Arial" w:hAnsi="Arial"/>
                <w:b/>
                <w:bCs/>
                <w:i w:val="false"/>
                <w:iCs w:val="false"/>
                <w:color w:val="auto"/>
                <w:sz w:val="20"/>
                <w:szCs w:val="20"/>
              </w:rPr>
              <w:t xml:space="preserve">Matmenys: </w:t>
            </w:r>
            <w:r>
              <w:rPr>
                <w:rFonts w:ascii="Arial" w:hAnsi="Arial"/>
                <w:b w:val="false"/>
                <w:bCs w:val="false"/>
                <w:i w:val="false"/>
                <w:iCs w:val="false"/>
                <w:color w:val="auto"/>
                <w:sz w:val="20"/>
                <w:szCs w:val="20"/>
              </w:rPr>
              <w:t>469x219x1370 mm</w:t>
            </w:r>
          </w:p>
          <w:p>
            <w:pPr>
              <w:pStyle w:val="Normal"/>
              <w:suppressAutoHyphens w:val="true"/>
              <w:spacing w:before="0" w:after="0"/>
              <w:jc w:val="left"/>
              <w:rPr>
                <w:color w:val="auto"/>
                <w:sz w:val="22"/>
              </w:rPr>
            </w:pPr>
            <w:r>
              <w:rPr>
                <w:rFonts w:ascii="Arial" w:hAnsi="Arial"/>
                <w:b/>
                <w:bCs/>
                <w:i w:val="false"/>
                <w:iCs w:val="false"/>
                <w:color w:val="auto"/>
                <w:sz w:val="20"/>
                <w:szCs w:val="20"/>
              </w:rPr>
              <w:t>Aprašas:</w:t>
            </w:r>
            <w:r>
              <w:rPr>
                <w:rFonts w:ascii="Arial" w:hAnsi="Arial"/>
                <w:b w:val="false"/>
                <w:bCs w:val="false"/>
                <w:i w:val="false"/>
                <w:iCs w:val="false"/>
                <w:color w:val="auto"/>
                <w:sz w:val="20"/>
                <w:szCs w:val="20"/>
              </w:rPr>
              <w:t xml:space="preserve"> </w:t>
            </w:r>
            <w:r>
              <w:rPr>
                <w:rFonts w:eastAsia="Times New Roman" w:cs="Times New Roman" w:ascii="Arial" w:hAnsi="Arial"/>
                <w:b w:val="false"/>
                <w:bCs w:val="false"/>
                <w:i w:val="false"/>
                <w:iCs w:val="false"/>
                <w:color w:val="auto"/>
                <w:kern w:val="0"/>
                <w:sz w:val="20"/>
                <w:szCs w:val="20"/>
                <w:lang w:val="lt-LT" w:eastAsia="en-US" w:bidi="ar-SA"/>
              </w:rPr>
              <w:t>Skirta prisipildyti buteliuką, atsigerti žmogui ir gėryklėle naminiams gyvūnams. Pritaikyta žmonėms su negalia. Skirta naudoti lauke. Pagaminta iš nerūdijančio plieno 316SS ir nudažyta milteliniais dažais – spalva derinama DP. Šis fontanas yra skirtas įleidžiamo vandens slėgiui 1–4,5 bar. Vandens įėjimo vamzdžio diametras 12,7 mm, vandens išėjimo vamzdžio diametras 9,53 mm</w:t>
            </w:r>
          </w:p>
        </w:tc>
      </w:tr>
      <w:tr>
        <w:trPr>
          <w:trHeight w:val="3693" w:hRule="atLeast"/>
          <w:cantSplit w:val="true"/>
        </w:trPr>
        <w:tc>
          <w:tcPr>
            <w:tcW w:w="1120" w:type="dxa"/>
            <w:tcBorders>
              <w:top w:val="nil"/>
            </w:tcBorders>
            <w:vAlign w:val="center"/>
          </w:tcPr>
          <w:p>
            <w:pPr>
              <w:pStyle w:val="Normal"/>
              <w:widowControl/>
              <w:suppressAutoHyphens w:val="true"/>
              <w:spacing w:before="0" w:after="0"/>
              <w:jc w:val="center"/>
              <w:rPr>
                <w:color w:val="auto"/>
                <w:sz w:val="22"/>
              </w:rPr>
            </w:pPr>
            <w:r>
              <w:rPr>
                <w:rFonts w:ascii="Arial" w:hAnsi="Arial"/>
                <w:color w:val="auto"/>
                <w:sz w:val="20"/>
                <w:szCs w:val="20"/>
              </w:rPr>
              <w:t>S-01</w:t>
            </w:r>
          </w:p>
        </w:tc>
        <w:tc>
          <w:tcPr>
            <w:tcW w:w="3595" w:type="dxa"/>
            <w:tcBorders>
              <w:top w:val="nil"/>
            </w:tcBorders>
            <w:vAlign w:val="center"/>
          </w:tcPr>
          <w:p>
            <w:pPr>
              <w:pStyle w:val="Normal"/>
              <w:widowControl/>
              <w:suppressAutoHyphens w:val="true"/>
              <w:spacing w:before="0" w:after="0"/>
              <w:jc w:val="left"/>
              <w:rPr>
                <w:rFonts w:ascii="Arial" w:hAnsi="Arial"/>
                <w:b/>
                <w:bCs/>
                <w:color w:val="auto"/>
                <w:sz w:val="20"/>
                <w:szCs w:val="20"/>
              </w:rPr>
            </w:pPr>
            <w:r>
              <w:rPr>
                <w:rFonts w:ascii="Arial" w:hAnsi="Arial"/>
                <w:b/>
                <w:bCs/>
                <w:color w:val="auto"/>
                <w:sz w:val="20"/>
                <w:szCs w:val="20"/>
              </w:rPr>
              <w:drawing>
                <wp:anchor behindDoc="0" distT="0" distB="0" distL="0" distR="0" simplePos="0" locked="0" layoutInCell="1" allowOverlap="1" relativeHeight="153">
                  <wp:simplePos x="0" y="0"/>
                  <wp:positionH relativeFrom="margin">
                    <wp:align>center</wp:align>
                  </wp:positionH>
                  <wp:positionV relativeFrom="margin">
                    <wp:align>top</wp:align>
                  </wp:positionV>
                  <wp:extent cx="1979930" cy="891540"/>
                  <wp:effectExtent l="0" t="0" r="0" b="0"/>
                  <wp:wrapSquare wrapText="bothSides"/>
                  <wp:docPr id="41" name="Image5 Copy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5 Copy 2"/>
                          <pic:cNvPicPr>
                            <a:picLocks noChangeAspect="1" noChangeArrowheads="1"/>
                          </pic:cNvPicPr>
                        </pic:nvPicPr>
                        <pic:blipFill>
                          <a:blip r:embed="rId41"/>
                          <a:stretch>
                            <a:fillRect/>
                          </a:stretch>
                        </pic:blipFill>
                        <pic:spPr bwMode="auto">
                          <a:xfrm>
                            <a:off x="0" y="0"/>
                            <a:ext cx="1979930" cy="891540"/>
                          </a:xfrm>
                          <a:prstGeom prst="rect">
                            <a:avLst/>
                          </a:prstGeom>
                          <a:noFill/>
                        </pic:spPr>
                      </pic:pic>
                    </a:graphicData>
                  </a:graphic>
                </wp:anchor>
              </w:drawing>
            </w:r>
          </w:p>
        </w:tc>
        <w:tc>
          <w:tcPr>
            <w:tcW w:w="5545" w:type="dxa"/>
            <w:tcBorders>
              <w:top w:val="nil"/>
            </w:tcBorders>
          </w:tcPr>
          <w:p>
            <w:pPr>
              <w:pStyle w:val="Normal"/>
              <w:suppressAutoHyphens w:val="true"/>
              <w:spacing w:before="0" w:after="0"/>
              <w:jc w:val="left"/>
              <w:rPr>
                <w:color w:val="auto"/>
                <w:sz w:val="22"/>
              </w:rPr>
            </w:pPr>
            <w:r>
              <w:rPr>
                <w:rFonts w:ascii="Arial" w:hAnsi="Arial"/>
                <w:b/>
                <w:bCs/>
                <w:i w:val="false"/>
                <w:iCs w:val="false"/>
                <w:color w:val="auto"/>
                <w:sz w:val="20"/>
                <w:szCs w:val="20"/>
              </w:rPr>
              <w:t>Suolas su atlošu</w:t>
            </w:r>
          </w:p>
          <w:p>
            <w:pPr>
              <w:pStyle w:val="Normal"/>
              <w:suppressAutoHyphens w:val="true"/>
              <w:spacing w:before="0" w:after="0"/>
              <w:jc w:val="left"/>
              <w:rPr>
                <w:color w:val="auto"/>
                <w:sz w:val="22"/>
              </w:rPr>
            </w:pPr>
            <w:r>
              <w:rPr>
                <w:rFonts w:ascii="Arial" w:hAnsi="Arial"/>
                <w:b/>
                <w:bCs/>
                <w:i w:val="false"/>
                <w:iCs w:val="false"/>
                <w:color w:val="auto"/>
                <w:sz w:val="20"/>
                <w:szCs w:val="20"/>
              </w:rPr>
              <w:t xml:space="preserve">Matmenys: </w:t>
            </w:r>
            <w:r>
              <w:rPr>
                <w:rFonts w:ascii="Arial" w:hAnsi="Arial"/>
                <w:b w:val="false"/>
                <w:bCs w:val="false"/>
                <w:i w:val="false"/>
                <w:iCs w:val="false"/>
                <w:color w:val="auto"/>
                <w:sz w:val="20"/>
                <w:szCs w:val="20"/>
              </w:rPr>
              <w:t>1805x715x805mm;</w:t>
            </w:r>
          </w:p>
          <w:p>
            <w:pPr>
              <w:pStyle w:val="Normal"/>
              <w:suppressAutoHyphens w:val="true"/>
              <w:spacing w:before="0" w:after="0"/>
              <w:jc w:val="left"/>
              <w:rPr>
                <w:color w:val="auto"/>
                <w:sz w:val="22"/>
              </w:rPr>
            </w:pPr>
            <w:r>
              <w:rPr>
                <w:rFonts w:ascii="Arial" w:hAnsi="Arial"/>
                <w:b/>
                <w:bCs/>
                <w:i w:val="false"/>
                <w:iCs w:val="false"/>
                <w:color w:val="auto"/>
                <w:sz w:val="20"/>
                <w:szCs w:val="20"/>
              </w:rPr>
              <w:t>Aprašas:</w:t>
            </w:r>
            <w:r>
              <w:rPr>
                <w:rFonts w:ascii="Arial" w:hAnsi="Arial"/>
                <w:b w:val="false"/>
                <w:bCs w:val="false"/>
                <w:i w:val="false"/>
                <w:iCs w:val="false"/>
                <w:color w:val="auto"/>
                <w:sz w:val="20"/>
                <w:szCs w:val="20"/>
              </w:rPr>
              <w:t xml:space="preserve"> Sėdynė ir atlošas pagaminti iš kietmedžio masyvo lamelės. Mediena IROCO (tamsi) arba KAMBALA alyvuojama du kartus. Spalva natūrali. Lamelės yra tvirtai, bet nematomai sujungtos su plienine konstrukcija. Plieninė konstrukcija, apdorota cinko danga ir milteliniu dažymu. Korpuso spalva antracito – RAL 7016 (tikslinama DP). Su porankiais. Suolas tvirtinamas prie pamato.</w:t>
            </w:r>
          </w:p>
          <w:p>
            <w:pPr>
              <w:pStyle w:val="Normal"/>
              <w:suppressAutoHyphens w:val="true"/>
              <w:spacing w:before="0" w:after="0"/>
              <w:jc w:val="left"/>
              <w:rPr>
                <w:color w:val="auto"/>
                <w:sz w:val="22"/>
              </w:rPr>
            </w:pPr>
            <w:r>
              <w:rPr>
                <w:rFonts w:ascii="Arial" w:hAnsi="Arial"/>
                <w:b w:val="false"/>
                <w:bCs w:val="false"/>
                <w:i w:val="false"/>
                <w:iCs w:val="false"/>
                <w:color w:val="auto"/>
                <w:sz w:val="20"/>
                <w:szCs w:val="20"/>
              </w:rPr>
              <w:t>Svoris: 52 kg.</w:t>
            </w:r>
          </w:p>
          <w:p>
            <w:pPr>
              <w:pStyle w:val="Normal"/>
              <w:suppressAutoHyphens w:val="true"/>
              <w:spacing w:before="0" w:after="0"/>
              <w:jc w:val="left"/>
              <w:rPr>
                <w:color w:val="auto"/>
              </w:rPr>
            </w:pPr>
            <w:r>
              <w:rPr>
                <w:rFonts w:ascii="Arial" w:hAnsi="Arial"/>
                <w:b w:val="false"/>
                <w:bCs w:val="false"/>
                <w:i w:val="false"/>
                <w:iCs w:val="false"/>
                <w:color w:val="auto"/>
                <w:sz w:val="20"/>
                <w:szCs w:val="20"/>
              </w:rPr>
              <w:t xml:space="preserve">Pamatai: Du betono </w:t>
            </w:r>
            <w:r>
              <w:rPr>
                <w:rFonts w:ascii="Arial;sans-serif" w:hAnsi="Arial;sans-serif"/>
                <w:b w:val="false"/>
                <w:bCs w:val="false"/>
                <w:i w:val="false"/>
                <w:iCs w:val="false"/>
                <w:caps w:val="false"/>
                <w:smallCaps w:val="false"/>
                <w:color w:val="auto"/>
                <w:spacing w:val="0"/>
                <w:sz w:val="20"/>
                <w:szCs w:val="20"/>
              </w:rPr>
              <w:t>C30/37 XC2</w:t>
            </w:r>
            <w:r>
              <w:rPr>
                <w:rFonts w:ascii="Arial" w:hAnsi="Arial"/>
                <w:b w:val="false"/>
                <w:bCs w:val="false"/>
                <w:i w:val="false"/>
                <w:iCs w:val="false"/>
                <w:color w:val="auto"/>
                <w:sz w:val="20"/>
                <w:szCs w:val="20"/>
              </w:rPr>
              <w:t xml:space="preserve">  pamatai po atramomis (300x800 mm, gylis ≥ 1200 mm).</w:t>
            </w:r>
          </w:p>
          <w:p>
            <w:pPr>
              <w:pStyle w:val="Normal"/>
              <w:widowControl/>
              <w:suppressAutoHyphens w:val="true"/>
              <w:spacing w:before="0" w:after="0"/>
              <w:jc w:val="left"/>
              <w:rPr>
                <w:rFonts w:ascii="Arial" w:hAnsi="Arial" w:eastAsia="Times New Roman" w:cs="Arial"/>
                <w:color w:val="auto"/>
                <w:kern w:val="0"/>
                <w:sz w:val="20"/>
                <w:szCs w:val="22"/>
                <w:u w:val="single"/>
                <w:lang w:val="lt-LT" w:eastAsia="en-US" w:bidi="ar-SA"/>
              </w:rPr>
            </w:pPr>
            <w:r>
              <w:rPr>
                <w:rFonts w:eastAsia="Times New Roman" w:cs="Arial" w:ascii="Arial" w:hAnsi="Arial"/>
                <w:color w:val="auto"/>
                <w:kern w:val="0"/>
                <w:sz w:val="20"/>
                <w:szCs w:val="22"/>
                <w:u w:val="single"/>
                <w:lang w:val="lt-LT" w:eastAsia="en-US" w:bidi="ar-SA"/>
              </w:rPr>
            </w:r>
          </w:p>
        </w:tc>
      </w:tr>
      <w:tr>
        <w:trPr>
          <w:trHeight w:val="3693" w:hRule="atLeast"/>
          <w:cantSplit w:val="true"/>
        </w:trPr>
        <w:tc>
          <w:tcPr>
            <w:tcW w:w="1120" w:type="dxa"/>
            <w:tcBorders>
              <w:top w:val="nil"/>
            </w:tcBorders>
            <w:vAlign w:val="center"/>
          </w:tcPr>
          <w:p>
            <w:pPr>
              <w:pStyle w:val="Normal"/>
              <w:widowControl/>
              <w:suppressAutoHyphens w:val="true"/>
              <w:spacing w:before="0" w:after="0"/>
              <w:jc w:val="center"/>
              <w:rPr>
                <w:rFonts w:eastAsia="Calibri"/>
                <w:kern w:val="0"/>
                <w:lang w:val="en-US" w:eastAsia="en-US" w:bidi="ar-SA"/>
              </w:rPr>
            </w:pPr>
            <w:r>
              <w:rPr>
                <w:rFonts w:eastAsia="Calibri" w:ascii="Arial" w:hAnsi="Arial"/>
                <w:kern w:val="0"/>
                <w:sz w:val="20"/>
                <w:szCs w:val="20"/>
                <w:lang w:val="en-US" w:eastAsia="en-US" w:bidi="ar-SA"/>
              </w:rPr>
              <w:t>ŽA01</w:t>
            </w:r>
          </w:p>
        </w:tc>
        <w:tc>
          <w:tcPr>
            <w:tcW w:w="3595" w:type="dxa"/>
            <w:tcBorders>
              <w:top w:val="nil"/>
            </w:tcBorders>
            <w:vAlign w:val="center"/>
          </w:tcPr>
          <w:p>
            <w:pPr>
              <w:pStyle w:val="Normal"/>
              <w:widowControl/>
              <w:suppressAutoHyphens w:val="true"/>
              <w:spacing w:before="0" w:after="0"/>
              <w:jc w:val="left"/>
              <w:rPr>
                <w:rFonts w:ascii="Arial" w:hAnsi="Arial"/>
                <w:b/>
                <w:bCs/>
                <w:sz w:val="20"/>
                <w:szCs w:val="20"/>
              </w:rPr>
            </w:pPr>
            <w:r>
              <w:rPr/>
              <w:drawing>
                <wp:inline distT="0" distB="0" distL="0" distR="0">
                  <wp:extent cx="2145665" cy="1609090"/>
                  <wp:effectExtent l="0" t="0" r="0" b="0"/>
                  <wp:docPr id="42" name="Paveikslėlis 3" descr="Foot Print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aveikslėlis 3" descr="Foot Print (image)"/>
                          <pic:cNvPicPr>
                            <a:picLocks noChangeAspect="1" noChangeArrowheads="1"/>
                          </pic:cNvPicPr>
                        </pic:nvPicPr>
                        <pic:blipFill>
                          <a:blip r:embed="rId42"/>
                          <a:stretch>
                            <a:fillRect/>
                          </a:stretch>
                        </pic:blipFill>
                        <pic:spPr bwMode="auto">
                          <a:xfrm>
                            <a:off x="0" y="0"/>
                            <a:ext cx="2145665" cy="1609090"/>
                          </a:xfrm>
                          <a:prstGeom prst="rect">
                            <a:avLst/>
                          </a:prstGeom>
                          <a:noFill/>
                        </pic:spPr>
                      </pic:pic>
                    </a:graphicData>
                  </a:graphic>
                </wp:inline>
              </w:drawing>
              <w:drawing>
                <wp:anchor behindDoc="0" distT="0" distB="0" distL="0" distR="0" simplePos="0" locked="0" layoutInCell="1" allowOverlap="1" relativeHeight="201">
                  <wp:simplePos x="0" y="0"/>
                  <wp:positionH relativeFrom="column">
                    <wp:posOffset>-34925</wp:posOffset>
                  </wp:positionH>
                  <wp:positionV relativeFrom="paragraph">
                    <wp:posOffset>635</wp:posOffset>
                  </wp:positionV>
                  <wp:extent cx="2150110" cy="824865"/>
                  <wp:effectExtent l="0" t="0" r="0" b="0"/>
                  <wp:wrapSquare wrapText="largest"/>
                  <wp:docPr id="43" name="Image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23"/>
                          <pic:cNvPicPr>
                            <a:picLocks noChangeAspect="1" noChangeArrowheads="1"/>
                          </pic:cNvPicPr>
                        </pic:nvPicPr>
                        <pic:blipFill>
                          <a:blip r:embed="rId43"/>
                          <a:stretch>
                            <a:fillRect/>
                          </a:stretch>
                        </pic:blipFill>
                        <pic:spPr bwMode="auto">
                          <a:xfrm>
                            <a:off x="0" y="0"/>
                            <a:ext cx="2150110" cy="824865"/>
                          </a:xfrm>
                          <a:prstGeom prst="rect">
                            <a:avLst/>
                          </a:prstGeom>
                          <a:noFill/>
                        </pic:spPr>
                      </pic:pic>
                    </a:graphicData>
                  </a:graphic>
                </wp:anchor>
              </w:drawing>
            </w:r>
          </w:p>
          <w:p>
            <w:pPr>
              <w:pStyle w:val="Normal"/>
              <w:widowControl/>
              <w:suppressAutoHyphens w:val="true"/>
              <w:spacing w:before="0" w:after="200"/>
              <w:jc w:val="left"/>
              <w:rPr>
                <w:rFonts w:ascii="Arial" w:hAnsi="Arial"/>
                <w:sz w:val="20"/>
                <w:szCs w:val="20"/>
              </w:rPr>
            </w:pPr>
            <w:r>
              <w:rPr/>
              <w:drawing>
                <wp:inline distT="0" distB="0" distL="0" distR="0">
                  <wp:extent cx="2145665" cy="274320"/>
                  <wp:effectExtent l="0" t="0" r="0" b="0"/>
                  <wp:docPr id="44" name="Paveikslėlis 4" descr="Side View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aveikslėlis 4" descr="Side View (image)"/>
                          <pic:cNvPicPr>
                            <a:picLocks noChangeAspect="1" noChangeArrowheads="1"/>
                          </pic:cNvPicPr>
                        </pic:nvPicPr>
                        <pic:blipFill>
                          <a:blip r:embed="rId44"/>
                          <a:stretch>
                            <a:fillRect/>
                          </a:stretch>
                        </pic:blipFill>
                        <pic:spPr bwMode="auto">
                          <a:xfrm>
                            <a:off x="0" y="0"/>
                            <a:ext cx="2145665" cy="274320"/>
                          </a:xfrm>
                          <a:prstGeom prst="rect">
                            <a:avLst/>
                          </a:prstGeom>
                          <a:noFill/>
                        </pic:spPr>
                      </pic:pic>
                    </a:graphicData>
                  </a:graphic>
                </wp:inline>
              </w:drawing>
            </w:r>
          </w:p>
        </w:tc>
        <w:tc>
          <w:tcPr>
            <w:tcW w:w="5545" w:type="dxa"/>
            <w:tcBorders>
              <w:top w:val="nil"/>
            </w:tcBorders>
          </w:tcPr>
          <w:p>
            <w:pPr>
              <w:pStyle w:val="Normal"/>
              <w:widowControl/>
              <w:suppressAutoHyphens w:val="true"/>
              <w:spacing w:before="0" w:after="0"/>
              <w:jc w:val="left"/>
              <w:rPr>
                <w:rFonts w:eastAsia="Calibri"/>
                <w:kern w:val="0"/>
                <w:lang w:val="en-US" w:eastAsia="en-US" w:bidi="ar-SA"/>
              </w:rPr>
            </w:pPr>
            <w:r>
              <w:rPr>
                <w:rFonts w:eastAsia="Calibri" w:ascii="Arial" w:hAnsi="Arial"/>
                <w:b/>
                <w:bCs/>
                <w:kern w:val="0"/>
                <w:sz w:val="20"/>
                <w:szCs w:val="20"/>
                <w:lang w:val="en-US" w:eastAsia="en-US" w:bidi="ar-SA"/>
              </w:rPr>
              <w:t>Objektas:</w:t>
            </w:r>
            <w:r>
              <w:rPr>
                <w:rFonts w:eastAsia="Calibri" w:ascii="Arial" w:hAnsi="Arial"/>
                <w:kern w:val="0"/>
                <w:sz w:val="20"/>
                <w:szCs w:val="20"/>
                <w:lang w:val="en-US" w:eastAsia="en-US" w:bidi="ar-SA"/>
              </w:rPr>
              <w:t xml:space="preserve"> Vaikų žaidimų įrenginys ŽA01</w:t>
            </w:r>
          </w:p>
          <w:p>
            <w:pPr>
              <w:pStyle w:val="Normal"/>
              <w:widowControl/>
              <w:suppressAutoHyphens w:val="true"/>
              <w:spacing w:before="0" w:after="0"/>
              <w:jc w:val="left"/>
              <w:rPr>
                <w:rFonts w:eastAsia="Calibri"/>
                <w:kern w:val="0"/>
                <w:lang w:val="en-US" w:eastAsia="en-US" w:bidi="ar-SA"/>
              </w:rPr>
            </w:pPr>
            <w:r>
              <w:rPr>
                <w:rFonts w:eastAsia="Calibri" w:ascii="Arial" w:hAnsi="Arial"/>
                <w:b/>
                <w:bCs/>
                <w:kern w:val="0"/>
                <w:sz w:val="20"/>
                <w:szCs w:val="20"/>
                <w:lang w:val="en-US" w:eastAsia="en-US" w:bidi="ar-SA"/>
              </w:rPr>
              <w:t xml:space="preserve">Matmenys: </w:t>
            </w:r>
            <w:r>
              <w:rPr>
                <w:rFonts w:eastAsia="Calibri" w:ascii="Arial" w:hAnsi="Arial"/>
                <w:kern w:val="0"/>
                <w:sz w:val="20"/>
                <w:szCs w:val="20"/>
                <w:lang w:val="en-US" w:eastAsia="en-US" w:bidi="ar-SA"/>
              </w:rPr>
              <w:t>1967x455x280 cm</w:t>
            </w:r>
          </w:p>
          <w:p>
            <w:pPr>
              <w:pStyle w:val="Normal"/>
              <w:widowControl/>
              <w:suppressAutoHyphens w:val="true"/>
              <w:spacing w:before="0" w:after="0"/>
              <w:jc w:val="left"/>
              <w:rPr>
                <w:rFonts w:eastAsia="Calibri"/>
                <w:kern w:val="0"/>
                <w:lang w:val="en-US" w:eastAsia="en-US" w:bidi="ar-SA"/>
              </w:rPr>
            </w:pPr>
            <w:r>
              <w:rPr>
                <w:rFonts w:eastAsia="Calibri" w:ascii="Arial" w:hAnsi="Arial"/>
                <w:b/>
                <w:bCs/>
                <w:kern w:val="0"/>
                <w:sz w:val="20"/>
                <w:szCs w:val="20"/>
                <w:lang w:val="en-US" w:eastAsia="en-US" w:bidi="ar-SA"/>
              </w:rPr>
              <w:t xml:space="preserve">Amžiaus grupė: </w:t>
            </w:r>
            <w:r>
              <w:rPr>
                <w:rFonts w:eastAsia="Calibri" w:ascii="Arial" w:hAnsi="Arial"/>
                <w:kern w:val="0"/>
                <w:sz w:val="20"/>
                <w:szCs w:val="20"/>
                <w:lang w:val="en-US" w:eastAsia="en-US" w:bidi="ar-SA"/>
              </w:rPr>
              <w:t>5+</w:t>
            </w:r>
          </w:p>
          <w:p>
            <w:pPr>
              <w:pStyle w:val="Normal"/>
              <w:widowControl/>
              <w:suppressAutoHyphens w:val="true"/>
              <w:spacing w:before="0" w:after="0"/>
              <w:jc w:val="left"/>
              <w:rPr>
                <w:rFonts w:eastAsia="Calibri"/>
                <w:kern w:val="0"/>
                <w:lang w:val="en-US" w:eastAsia="en-US" w:bidi="ar-SA"/>
              </w:rPr>
            </w:pPr>
            <w:r>
              <w:rPr>
                <w:rFonts w:eastAsia="Calibri" w:ascii="Arial" w:hAnsi="Arial"/>
                <w:b/>
                <w:bCs/>
                <w:kern w:val="0"/>
                <w:sz w:val="20"/>
                <w:szCs w:val="20"/>
                <w:lang w:val="en-US" w:eastAsia="en-US" w:bidi="ar-SA"/>
              </w:rPr>
              <w:t xml:space="preserve">Maksimalus galimas kritimo aukštis: </w:t>
            </w:r>
            <w:r>
              <w:rPr>
                <w:rFonts w:eastAsia="Calibri" w:ascii="Arial" w:hAnsi="Arial"/>
                <w:kern w:val="0"/>
                <w:sz w:val="20"/>
                <w:szCs w:val="20"/>
                <w:lang w:val="en-US" w:eastAsia="en-US" w:bidi="ar-SA"/>
              </w:rPr>
              <w:t>280 cm</w:t>
            </w:r>
          </w:p>
          <w:p>
            <w:pPr>
              <w:pStyle w:val="Normal"/>
              <w:widowControl/>
              <w:suppressAutoHyphens w:val="true"/>
              <w:spacing w:before="0" w:after="0"/>
              <w:jc w:val="left"/>
              <w:rPr>
                <w:rFonts w:eastAsia="Calibri"/>
                <w:kern w:val="0"/>
                <w:lang w:val="en-US" w:eastAsia="en-US" w:bidi="ar-SA"/>
              </w:rPr>
            </w:pPr>
            <w:r>
              <w:rPr>
                <w:rFonts w:eastAsia="Calibri" w:ascii="Arial" w:hAnsi="Arial"/>
                <w:b/>
                <w:bCs/>
                <w:kern w:val="0"/>
                <w:sz w:val="20"/>
                <w:szCs w:val="20"/>
                <w:lang w:val="en-US" w:eastAsia="en-US" w:bidi="ar-SA"/>
              </w:rPr>
              <w:t xml:space="preserve">Saugumo zona: </w:t>
            </w:r>
            <w:r>
              <w:rPr>
                <w:rFonts w:eastAsia="Calibri" w:ascii="Arial" w:hAnsi="Arial"/>
                <w:kern w:val="0"/>
                <w:sz w:val="20"/>
                <w:szCs w:val="20"/>
                <w:lang w:val="en-US" w:eastAsia="en-US" w:bidi="ar-SA"/>
              </w:rPr>
              <w:t>181,4 m</w:t>
            </w:r>
            <w:r>
              <w:rPr>
                <w:rFonts w:eastAsia="Calibri" w:ascii="Arial" w:hAnsi="Arial"/>
                <w:kern w:val="0"/>
                <w:sz w:val="20"/>
                <w:szCs w:val="20"/>
                <w:vertAlign w:val="superscript"/>
                <w:lang w:val="en-US" w:eastAsia="en-US" w:bidi="ar-SA"/>
              </w:rPr>
              <w:t>2</w:t>
            </w:r>
          </w:p>
          <w:p>
            <w:pPr>
              <w:pStyle w:val="Normal"/>
              <w:widowControl/>
              <w:tabs>
                <w:tab w:val="clear" w:pos="1296"/>
                <w:tab w:val="left" w:pos="720" w:leader="none"/>
              </w:tabs>
              <w:suppressAutoHyphens w:val="true"/>
              <w:spacing w:before="0" w:after="0"/>
              <w:jc w:val="both"/>
              <w:rPr>
                <w:rFonts w:ascii="Arial" w:hAnsi="Arial"/>
                <w:b/>
                <w:bCs/>
                <w:sz w:val="20"/>
                <w:szCs w:val="20"/>
              </w:rPr>
            </w:pPr>
            <w:r>
              <w:rPr>
                <w:rFonts w:eastAsia="Calibri" w:ascii="Arial" w:hAnsi="Arial"/>
                <w:b/>
                <w:bCs/>
                <w:kern w:val="0"/>
                <w:sz w:val="20"/>
                <w:szCs w:val="20"/>
                <w:lang w:val="en-US" w:eastAsia="en-US" w:bidi="ar-SA"/>
              </w:rPr>
              <w:t>Aprašas:</w:t>
            </w:r>
          </w:p>
          <w:p>
            <w:pPr>
              <w:pStyle w:val="Normal"/>
              <w:widowControl/>
              <w:tabs>
                <w:tab w:val="clear" w:pos="1296"/>
                <w:tab w:val="left" w:pos="720" w:leader="none"/>
              </w:tabs>
              <w:suppressAutoHyphens w:val="true"/>
              <w:spacing w:before="0" w:after="0"/>
              <w:jc w:val="both"/>
              <w:rPr>
                <w:rFonts w:ascii="Arial" w:hAnsi="Arial" w:cs="Arial"/>
                <w:sz w:val="20"/>
                <w:szCs w:val="20"/>
                <w:lang w:val="lt-LT"/>
              </w:rPr>
            </w:pPr>
            <w:r>
              <w:rPr>
                <w:rFonts w:eastAsia="Calibri" w:cs="Arial" w:ascii="Arial" w:hAnsi="Arial"/>
                <w:b/>
                <w:bCs/>
                <w:kern w:val="0"/>
                <w:sz w:val="20"/>
                <w:szCs w:val="20"/>
                <w:lang w:val="lt-LT" w:eastAsia="en-US" w:bidi="ar-SA"/>
              </w:rPr>
              <w:t>Pagrindinė konstrukcija</w:t>
            </w:r>
            <w:r>
              <w:rPr>
                <w:rFonts w:eastAsia="Calibri" w:cs="Arial" w:ascii="Arial" w:hAnsi="Arial"/>
                <w:kern w:val="0"/>
                <w:sz w:val="20"/>
                <w:szCs w:val="20"/>
                <w:lang w:val="lt-LT" w:eastAsia="en-US" w:bidi="ar-SA"/>
              </w:rPr>
              <w:t>: plieninė iš 7 atskirų lenktų vamzdžių. Vamzdžių skersmuo nemažiau ø273 mm, sienelės storis ne mažiau 6,3 ir 12,5 mm. Plienas S235, karštai cinkuotas pagal ISO1461. Viršutinis sluoksnis – miltelinis dažymas (70–120 µm storio).</w:t>
            </w:r>
          </w:p>
          <w:p>
            <w:pPr>
              <w:pStyle w:val="Normal"/>
              <w:widowControl/>
              <w:suppressAutoHyphens w:val="true"/>
              <w:spacing w:before="0" w:after="0"/>
              <w:jc w:val="both"/>
              <w:rPr>
                <w:rFonts w:ascii="Arial" w:hAnsi="Arial" w:cs="Arial"/>
                <w:sz w:val="20"/>
                <w:szCs w:val="20"/>
                <w:lang w:val="lt-LT"/>
              </w:rPr>
            </w:pPr>
            <w:r>
              <w:rPr>
                <w:rFonts w:eastAsia="Calibri" w:cs="Arial" w:ascii="Arial" w:hAnsi="Arial"/>
                <w:b/>
                <w:bCs/>
                <w:kern w:val="0"/>
                <w:sz w:val="20"/>
                <w:szCs w:val="20"/>
                <w:lang w:val="lt-LT" w:eastAsia="en-US" w:bidi="ar-SA"/>
              </w:rPr>
              <w:t>Tinklo trosai</w:t>
            </w:r>
            <w:r>
              <w:rPr>
                <w:rFonts w:eastAsia="Calibri" w:cs="Arial" w:ascii="Arial" w:hAnsi="Arial"/>
                <w:kern w:val="0"/>
                <w:sz w:val="20"/>
                <w:szCs w:val="20"/>
                <w:lang w:val="lt-LT" w:eastAsia="en-US" w:bidi="ar-SA"/>
              </w:rPr>
              <w:t>: nemažiau ø19 mm ir ø23 mm. Kiekvienas trosas pagamintas iš 6 tarpusavyje ant atskiros centrinės šerdies supintu virvių. Kiekviena virvė pagaminta iš UV stabilizuoto PES poliesterio su vidine plienine trosų šerdimi.  Naudojamos virvės gaminamos iš daugiau nei 95 % perdirbtų medžiagų.</w:t>
            </w:r>
          </w:p>
          <w:p>
            <w:pPr>
              <w:pStyle w:val="Normal"/>
              <w:widowControl/>
              <w:suppressAutoHyphens w:val="true"/>
              <w:spacing w:before="0" w:after="0"/>
              <w:jc w:val="both"/>
              <w:rPr>
                <w:rFonts w:ascii="Arial" w:hAnsi="Arial" w:cs="Arial"/>
                <w:sz w:val="20"/>
                <w:szCs w:val="20"/>
                <w:lang w:val="lt-LT"/>
              </w:rPr>
            </w:pPr>
            <w:r>
              <w:rPr/>
              <w:drawing>
                <wp:inline distT="0" distB="0" distL="0" distR="0">
                  <wp:extent cx="1099185" cy="779145"/>
                  <wp:effectExtent l="0" t="0" r="0" b="0"/>
                  <wp:docPr id="45" name="Paveikslėlis 1" descr="COR_rope 19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aveikslėlis 1" descr="COR_rope 19mm+"/>
                          <pic:cNvPicPr>
                            <a:picLocks noChangeAspect="1" noChangeArrowheads="1"/>
                          </pic:cNvPicPr>
                        </pic:nvPicPr>
                        <pic:blipFill>
                          <a:blip r:embed="rId45"/>
                          <a:stretch>
                            <a:fillRect/>
                          </a:stretch>
                        </pic:blipFill>
                        <pic:spPr bwMode="auto">
                          <a:xfrm>
                            <a:off x="0" y="0"/>
                            <a:ext cx="1099185" cy="779145"/>
                          </a:xfrm>
                          <a:prstGeom prst="rect">
                            <a:avLst/>
                          </a:prstGeom>
                          <a:noFill/>
                        </pic:spPr>
                      </pic:pic>
                    </a:graphicData>
                  </a:graphic>
                </wp:inline>
              </w:drawing>
            </w:r>
          </w:p>
          <w:p>
            <w:pPr>
              <w:pStyle w:val="Normal"/>
              <w:widowControl/>
              <w:suppressAutoHyphens w:val="true"/>
              <w:spacing w:before="0" w:after="0"/>
              <w:jc w:val="both"/>
              <w:rPr>
                <w:rFonts w:ascii="Arial" w:hAnsi="Arial" w:cs="Arial"/>
                <w:sz w:val="20"/>
                <w:szCs w:val="20"/>
                <w:lang w:val="lt-LT"/>
              </w:rPr>
            </w:pPr>
            <w:r>
              <w:rPr>
                <w:rFonts w:cs="Arial" w:ascii="Arial" w:hAnsi="Arial"/>
                <w:sz w:val="20"/>
                <w:szCs w:val="20"/>
                <w:lang w:val="lt-LT"/>
              </w:rPr>
            </w:r>
          </w:p>
          <w:p>
            <w:pPr>
              <w:pStyle w:val="Normal"/>
              <w:widowControl/>
              <w:suppressAutoHyphens w:val="true"/>
              <w:spacing w:before="0" w:after="0"/>
              <w:jc w:val="both"/>
              <w:rPr>
                <w:rFonts w:ascii="Arial" w:hAnsi="Arial" w:cs="Arial"/>
                <w:sz w:val="20"/>
                <w:szCs w:val="20"/>
                <w:lang w:val="lt-LT"/>
              </w:rPr>
            </w:pPr>
            <w:r>
              <w:rPr>
                <w:rFonts w:eastAsia="Calibri" w:cs="Arial" w:ascii="Arial" w:hAnsi="Arial"/>
                <w:b/>
                <w:bCs/>
                <w:kern w:val="0"/>
                <w:sz w:val="20"/>
                <w:szCs w:val="20"/>
                <w:lang w:val="lt-LT" w:eastAsia="en-US" w:bidi="ar-SA"/>
              </w:rPr>
              <w:t>Membranos</w:t>
            </w:r>
            <w:r>
              <w:rPr>
                <w:rFonts w:eastAsia="Calibri" w:cs="Arial" w:ascii="Arial" w:hAnsi="Arial"/>
                <w:kern w:val="0"/>
                <w:sz w:val="20"/>
                <w:szCs w:val="20"/>
                <w:lang w:val="lt-LT" w:eastAsia="en-US" w:bidi="ar-SA"/>
              </w:rPr>
              <w:t>: pagamintos iš trintims atsparios gumos, keturių sluoksnių poliesterio audinio armuotės pagrindu. Bendras storis – nemažiau 8 mm.</w:t>
            </w:r>
          </w:p>
          <w:p>
            <w:pPr>
              <w:pStyle w:val="Normal"/>
              <w:widowControl/>
              <w:suppressAutoHyphens w:val="true"/>
              <w:spacing w:before="0" w:after="0"/>
              <w:jc w:val="both"/>
              <w:rPr>
                <w:rFonts w:ascii="Arial" w:hAnsi="Arial" w:cs="Arial"/>
                <w:sz w:val="20"/>
                <w:szCs w:val="20"/>
                <w:lang w:val="lt-LT"/>
              </w:rPr>
            </w:pPr>
            <w:r>
              <w:rPr>
                <w:rFonts w:eastAsia="Calibri" w:cs="Arial" w:ascii="Arial" w:hAnsi="Arial"/>
                <w:b/>
                <w:bCs/>
                <w:kern w:val="0"/>
                <w:sz w:val="20"/>
                <w:szCs w:val="20"/>
                <w:lang w:val="lt-LT" w:eastAsia="en-US" w:bidi="ar-SA"/>
              </w:rPr>
              <w:t>Tinklo virvių jungtys</w:t>
            </w:r>
            <w:r>
              <w:rPr>
                <w:rFonts w:eastAsia="Calibri" w:cs="Arial" w:ascii="Arial" w:hAnsi="Arial"/>
                <w:kern w:val="0"/>
                <w:sz w:val="20"/>
                <w:szCs w:val="20"/>
                <w:lang w:val="lt-LT" w:eastAsia="en-US" w:bidi="ar-SA"/>
              </w:rPr>
              <w:t>: dvigubi 8 mm AISI316 nerūdijančio plieno S-formos sujungimo elementai, iš anksto sumontuoti ant tinklo:</w:t>
            </w:r>
          </w:p>
          <w:p>
            <w:pPr>
              <w:pStyle w:val="Normal"/>
              <w:widowControl/>
              <w:suppressAutoHyphens w:val="true"/>
              <w:spacing w:before="0" w:after="0"/>
              <w:jc w:val="both"/>
              <w:rPr>
                <w:rFonts w:ascii="Arial" w:hAnsi="Arial" w:cs="Arial"/>
                <w:sz w:val="20"/>
                <w:szCs w:val="20"/>
                <w:lang w:val="lt-LT"/>
              </w:rPr>
            </w:pPr>
            <w:r>
              <w:rPr/>
              <w:drawing>
                <wp:inline distT="0" distB="0" distL="0" distR="0">
                  <wp:extent cx="1120775" cy="796925"/>
                  <wp:effectExtent l="0" t="0" r="0" b="0"/>
                  <wp:docPr id="46" name="Paveikslėlis 2" descr="COR_S-clam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aveikslėlis 2" descr="COR_S-clamps"/>
                          <pic:cNvPicPr>
                            <a:picLocks noChangeAspect="1" noChangeArrowheads="1"/>
                          </pic:cNvPicPr>
                        </pic:nvPicPr>
                        <pic:blipFill>
                          <a:blip r:embed="rId46"/>
                          <a:stretch>
                            <a:fillRect/>
                          </a:stretch>
                        </pic:blipFill>
                        <pic:spPr bwMode="auto">
                          <a:xfrm>
                            <a:off x="0" y="0"/>
                            <a:ext cx="1120775" cy="796925"/>
                          </a:xfrm>
                          <a:prstGeom prst="rect">
                            <a:avLst/>
                          </a:prstGeom>
                          <a:noFill/>
                        </pic:spPr>
                      </pic:pic>
                    </a:graphicData>
                  </a:graphic>
                </wp:inline>
              </w:drawing>
            </w:r>
          </w:p>
          <w:p>
            <w:pPr>
              <w:pStyle w:val="Normal"/>
              <w:widowControl/>
              <w:suppressAutoHyphens w:val="true"/>
              <w:spacing w:before="0" w:after="0"/>
              <w:jc w:val="both"/>
              <w:rPr>
                <w:rFonts w:ascii="Arial" w:hAnsi="Arial" w:cs="Arial"/>
                <w:sz w:val="20"/>
                <w:szCs w:val="20"/>
                <w:lang w:val="lt-LT"/>
              </w:rPr>
            </w:pPr>
            <w:r>
              <w:rPr>
                <w:rFonts w:cs="Arial" w:ascii="Arial" w:hAnsi="Arial"/>
                <w:sz w:val="20"/>
                <w:szCs w:val="20"/>
                <w:lang w:val="lt-LT"/>
              </w:rPr>
            </w:r>
          </w:p>
          <w:p>
            <w:pPr>
              <w:pStyle w:val="Normal"/>
              <w:widowControl/>
              <w:suppressAutoHyphens w:val="true"/>
              <w:spacing w:before="0" w:after="0"/>
              <w:jc w:val="both"/>
              <w:rPr>
                <w:rFonts w:ascii="Arial" w:hAnsi="Arial" w:cs="Arial"/>
                <w:sz w:val="20"/>
                <w:szCs w:val="20"/>
                <w:lang w:val="lt-LT"/>
              </w:rPr>
            </w:pPr>
            <w:r>
              <w:rPr>
                <w:rFonts w:eastAsia="Calibri" w:cs="Arial" w:ascii="Arial" w:hAnsi="Arial"/>
                <w:b/>
                <w:bCs/>
                <w:kern w:val="0"/>
                <w:sz w:val="20"/>
                <w:szCs w:val="20"/>
                <w:lang w:val="lt-LT" w:eastAsia="en-US" w:bidi="ar-SA"/>
              </w:rPr>
              <w:t>Tvirtinimo grandinės</w:t>
            </w:r>
            <w:r>
              <w:rPr>
                <w:rFonts w:eastAsia="Calibri" w:cs="Arial" w:ascii="Arial" w:hAnsi="Arial"/>
                <w:kern w:val="0"/>
                <w:sz w:val="20"/>
                <w:szCs w:val="20"/>
                <w:lang w:val="lt-LT" w:eastAsia="en-US" w:bidi="ar-SA"/>
              </w:rPr>
              <w:t>: 6 mm storio karštai cinkuoto plieno.</w:t>
            </w:r>
          </w:p>
          <w:p>
            <w:pPr>
              <w:pStyle w:val="Normal"/>
              <w:widowControl/>
              <w:suppressAutoHyphens w:val="true"/>
              <w:spacing w:before="0" w:after="0"/>
              <w:jc w:val="both"/>
              <w:rPr>
                <w:rFonts w:ascii="Arial" w:hAnsi="Arial" w:cs="Arial"/>
                <w:sz w:val="20"/>
                <w:szCs w:val="20"/>
                <w:lang w:val="lt-LT"/>
              </w:rPr>
            </w:pPr>
            <w:r>
              <w:rPr>
                <w:rFonts w:eastAsia="Calibri" w:cs="Arial" w:ascii="Arial" w:hAnsi="Arial"/>
                <w:b/>
                <w:bCs/>
                <w:kern w:val="0"/>
                <w:sz w:val="20"/>
                <w:szCs w:val="20"/>
                <w:lang w:val="lt-LT" w:eastAsia="en-US" w:bidi="ar-SA"/>
              </w:rPr>
              <w:t>Pamatų plokštės</w:t>
            </w:r>
            <w:r>
              <w:rPr>
                <w:rFonts w:eastAsia="Calibri" w:cs="Arial" w:ascii="Arial" w:hAnsi="Arial"/>
                <w:kern w:val="0"/>
                <w:sz w:val="20"/>
                <w:szCs w:val="20"/>
                <w:lang w:val="lt-LT" w:eastAsia="en-US" w:bidi="ar-SA"/>
              </w:rPr>
              <w:t>: 20 mm storio S355 plienas.</w:t>
            </w:r>
          </w:p>
          <w:p>
            <w:pPr>
              <w:pStyle w:val="Normal"/>
              <w:widowControl/>
              <w:suppressAutoHyphens w:val="true"/>
              <w:spacing w:before="0" w:after="0"/>
              <w:jc w:val="both"/>
              <w:rPr>
                <w:rFonts w:ascii="Arial" w:hAnsi="Arial" w:cs="Arial"/>
                <w:sz w:val="20"/>
                <w:szCs w:val="20"/>
                <w:lang w:val="lt-LT"/>
              </w:rPr>
            </w:pPr>
            <w:r>
              <w:rPr>
                <w:rFonts w:eastAsia="Calibri" w:cs="Arial" w:ascii="Arial" w:hAnsi="Arial"/>
                <w:b/>
                <w:bCs/>
                <w:kern w:val="0"/>
                <w:sz w:val="20"/>
                <w:szCs w:val="20"/>
                <w:lang w:val="lt-LT" w:eastAsia="en-US" w:bidi="ar-SA"/>
              </w:rPr>
              <w:t>EPDM diskai</w:t>
            </w:r>
            <w:r>
              <w:rPr>
                <w:rFonts w:eastAsia="Calibri" w:cs="Arial" w:ascii="Arial" w:hAnsi="Arial"/>
                <w:kern w:val="0"/>
                <w:sz w:val="20"/>
                <w:szCs w:val="20"/>
                <w:lang w:val="lt-LT" w:eastAsia="en-US" w:bidi="ar-SA"/>
              </w:rPr>
              <w:t>: spalvoti, lygia danga, pagaminti iš karštai cinkuoto plieno šerdies ir formuoto EPDM. Diskai užtikrina patikimą tvirtinimą prie virvės:</w:t>
            </w:r>
          </w:p>
          <w:p>
            <w:pPr>
              <w:pStyle w:val="Normal"/>
              <w:widowControl/>
              <w:suppressAutoHyphens w:val="true"/>
              <w:spacing w:before="0" w:after="0"/>
              <w:jc w:val="both"/>
              <w:rPr>
                <w:rFonts w:ascii="Arial" w:hAnsi="Arial" w:cs="Arial"/>
                <w:sz w:val="20"/>
                <w:szCs w:val="20"/>
                <w:lang w:val="lt-LT"/>
              </w:rPr>
            </w:pPr>
            <w:r>
              <w:rPr/>
              <w:drawing>
                <wp:inline distT="0" distB="0" distL="0" distR="0">
                  <wp:extent cx="1104900" cy="783590"/>
                  <wp:effectExtent l="0" t="0" r="0" b="0"/>
                  <wp:docPr id="47" name="Paveikslėlis 5" descr="COR EPDM dis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aveikslėlis 5" descr="COR EPDM discs"/>
                          <pic:cNvPicPr>
                            <a:picLocks noChangeAspect="1" noChangeArrowheads="1"/>
                          </pic:cNvPicPr>
                        </pic:nvPicPr>
                        <pic:blipFill>
                          <a:blip r:embed="rId47"/>
                          <a:stretch>
                            <a:fillRect/>
                          </a:stretch>
                        </pic:blipFill>
                        <pic:spPr bwMode="auto">
                          <a:xfrm>
                            <a:off x="0" y="0"/>
                            <a:ext cx="1104900" cy="783590"/>
                          </a:xfrm>
                          <a:prstGeom prst="rect">
                            <a:avLst/>
                          </a:prstGeom>
                          <a:noFill/>
                        </pic:spPr>
                      </pic:pic>
                    </a:graphicData>
                  </a:graphic>
                </wp:inline>
              </w:drawing>
            </w:r>
          </w:p>
          <w:p>
            <w:pPr>
              <w:pStyle w:val="Normal"/>
              <w:widowControl/>
              <w:suppressAutoHyphens w:val="true"/>
              <w:spacing w:before="0" w:after="0"/>
              <w:jc w:val="both"/>
              <w:rPr>
                <w:rFonts w:ascii="Arial" w:hAnsi="Arial" w:cs="Arial"/>
                <w:sz w:val="20"/>
                <w:szCs w:val="20"/>
                <w:lang w:val="lt-LT"/>
              </w:rPr>
            </w:pPr>
            <w:r>
              <w:rPr>
                <w:rFonts w:cs="Arial" w:ascii="Arial" w:hAnsi="Arial"/>
                <w:sz w:val="20"/>
                <w:szCs w:val="20"/>
                <w:lang w:val="lt-LT"/>
              </w:rPr>
            </w:r>
          </w:p>
          <w:p>
            <w:pPr>
              <w:pStyle w:val="Normal"/>
              <w:widowControl/>
              <w:suppressAutoHyphens w:val="true"/>
              <w:spacing w:before="0" w:after="0"/>
              <w:jc w:val="both"/>
              <w:rPr>
                <w:rFonts w:ascii="Arial" w:hAnsi="Arial" w:eastAsia="Times New Roman" w:cs="Arial"/>
                <w:sz w:val="20"/>
                <w:szCs w:val="20"/>
              </w:rPr>
            </w:pPr>
            <w:r>
              <w:rPr>
                <w:rFonts w:eastAsia="Times New Roman" w:cs="Arial" w:ascii="Arial" w:hAnsi="Arial"/>
                <w:b/>
                <w:kern w:val="0"/>
                <w:sz w:val="20"/>
                <w:szCs w:val="20"/>
                <w:lang w:val="en-US" w:eastAsia="en-US" w:bidi="ar-SA"/>
              </w:rPr>
              <w:t>Aliuminio tvirtinimai</w:t>
            </w:r>
            <w:r>
              <w:rPr>
                <w:rFonts w:eastAsia="Times New Roman" w:cs="Arial" w:ascii="Arial" w:hAnsi="Arial"/>
                <w:kern w:val="0"/>
                <w:sz w:val="20"/>
                <w:szCs w:val="20"/>
                <w:lang w:val="en-US" w:eastAsia="en-US" w:bidi="ar-SA"/>
              </w:rPr>
              <w:t xml:space="preserve"> yra dvigubos kūginės formos, su užapvalintais galais ir yra tokios mažos, kokios gali būti pagal saugumo reikalavimus. Naudojamos mažiausios svirtys, nes būtina išlaikyti mažiausią dydį ir skaičių virvės struktūroje, taip sumažinant bet kokius galimus trukdžius. Tokia konstrukcija užtikrina, kad laužimas/tempimas būtų minimalus, taip užtikrinant labai mažą galimybę susižeisti:</w:t>
            </w:r>
          </w:p>
          <w:p>
            <w:pPr>
              <w:pStyle w:val="Normal"/>
              <w:widowControl/>
              <w:suppressAutoHyphens w:val="true"/>
              <w:spacing w:before="0" w:after="0"/>
              <w:jc w:val="both"/>
              <w:rPr>
                <w:rFonts w:eastAsia="Calibri"/>
                <w:kern w:val="0"/>
                <w:lang w:val="en-US" w:eastAsia="en-US" w:bidi="ar-SA"/>
              </w:rPr>
            </w:pPr>
            <w:r>
              <w:rPr>
                <w:sz w:val="22"/>
              </w:rPr>
              <w:object w:dxaOrig="4764" w:dyaOrig="3564">
                <v:shapetype id="_x0000_tole_rId48" coordsize="21600,21600" o:spt="ole_rId48"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48" type="_x0000_tole_rId48" style="width:91.4pt;height:68.25pt;mso-wrap-distance-right:0pt" filled="f" o:ole="">
                  <v:imagedata r:id="rId49" o:title=""/>
                </v:shape>
                <o:OLEObject Type="Embed" ProgID="" ShapeID="ole_rId48" DrawAspect="Content" ObjectID="_1470103320" r:id="rId48"/>
              </w:object>
            </w:r>
          </w:p>
          <w:p>
            <w:pPr>
              <w:pStyle w:val="Normal"/>
              <w:widowControl/>
              <w:suppressAutoHyphens w:val="true"/>
              <w:spacing w:before="0" w:after="0"/>
              <w:jc w:val="both"/>
              <w:rPr>
                <w:rFonts w:ascii="Arial" w:hAnsi="Arial" w:cs="Arial"/>
                <w:sz w:val="18"/>
                <w:szCs w:val="18"/>
                <w:lang w:val="lt-LT"/>
              </w:rPr>
            </w:pPr>
            <w:r>
              <w:rPr>
                <w:rFonts w:cs="Arial" w:ascii="Arial" w:hAnsi="Arial"/>
                <w:sz w:val="18"/>
                <w:szCs w:val="18"/>
                <w:lang w:val="lt-LT"/>
              </w:rPr>
            </w:r>
          </w:p>
          <w:p>
            <w:pPr>
              <w:pStyle w:val="Normal"/>
              <w:widowControl/>
              <w:suppressAutoHyphens w:val="true"/>
              <w:spacing w:before="0" w:after="0"/>
              <w:jc w:val="both"/>
              <w:rPr>
                <w:rFonts w:ascii="Arial" w:hAnsi="Arial" w:cs="Arial"/>
                <w:sz w:val="20"/>
                <w:szCs w:val="20"/>
                <w:lang w:val="lt-LT"/>
              </w:rPr>
            </w:pPr>
            <w:r>
              <w:rPr>
                <w:rFonts w:eastAsia="Calibri" w:cs="Arial" w:ascii="Arial" w:hAnsi="Arial"/>
                <w:b/>
                <w:bCs/>
                <w:kern w:val="0"/>
                <w:sz w:val="20"/>
                <w:szCs w:val="20"/>
                <w:lang w:val="lt-LT" w:eastAsia="en-US" w:bidi="ar-SA"/>
              </w:rPr>
              <w:t>Plieninės dalys</w:t>
            </w:r>
            <w:r>
              <w:rPr>
                <w:rFonts w:eastAsia="Calibri" w:cs="Arial" w:ascii="Arial" w:hAnsi="Arial"/>
                <w:kern w:val="0"/>
                <w:sz w:val="20"/>
                <w:szCs w:val="20"/>
                <w:lang w:val="lt-LT" w:eastAsia="en-US" w:bidi="ar-SA"/>
              </w:rPr>
              <w:t>: karštai cinkuotos pagal ISO1461, o švino kiekis paviršiuje neviršija 90 ppm.</w:t>
            </w:r>
          </w:p>
          <w:p>
            <w:pPr>
              <w:pStyle w:val="Normal"/>
              <w:widowControl/>
              <w:suppressAutoHyphens w:val="true"/>
              <w:spacing w:before="0" w:after="0"/>
              <w:jc w:val="both"/>
              <w:rPr>
                <w:rFonts w:ascii="Arial" w:hAnsi="Arial" w:cs="Arial"/>
                <w:sz w:val="20"/>
                <w:szCs w:val="20"/>
                <w:lang w:val="lt-LT"/>
              </w:rPr>
            </w:pPr>
            <w:r>
              <w:rPr>
                <w:rFonts w:eastAsia="Calibri" w:cs="Arial" w:ascii="Arial" w:hAnsi="Arial"/>
                <w:b/>
                <w:bCs/>
                <w:kern w:val="0"/>
                <w:sz w:val="20"/>
                <w:szCs w:val="20"/>
                <w:lang w:val="lt-LT" w:eastAsia="en-US" w:bidi="ar-SA"/>
              </w:rPr>
              <w:t>Plastikinės dalys:</w:t>
            </w:r>
            <w:r>
              <w:rPr>
                <w:rFonts w:eastAsia="Calibri" w:cs="Arial" w:ascii="Arial" w:hAnsi="Arial"/>
                <w:kern w:val="0"/>
                <w:sz w:val="20"/>
                <w:szCs w:val="20"/>
                <w:lang w:val="lt-LT" w:eastAsia="en-US" w:bidi="ar-SA"/>
              </w:rPr>
              <w:t xml:space="preserve"> pagamintos iš injekciniu būdu formuoto aukštos kokybės UV stabilizuoto nailono (PA6), atsparaus dilimui ir smūgiams.</w:t>
            </w:r>
          </w:p>
          <w:p>
            <w:pPr>
              <w:pStyle w:val="Normal"/>
              <w:widowControl/>
              <w:suppressAutoHyphens w:val="true"/>
              <w:spacing w:before="0" w:after="0"/>
              <w:jc w:val="both"/>
              <w:rPr>
                <w:rFonts w:ascii="Arial" w:hAnsi="Arial" w:cs="Arial"/>
                <w:sz w:val="20"/>
                <w:szCs w:val="20"/>
                <w:lang w:val="lt-LT"/>
              </w:rPr>
            </w:pPr>
            <w:r>
              <w:rPr>
                <w:rFonts w:eastAsia="Calibri" w:cs="Arial" w:ascii="Arial" w:hAnsi="Arial"/>
                <w:b/>
                <w:bCs/>
                <w:kern w:val="0"/>
                <w:sz w:val="20"/>
                <w:szCs w:val="20"/>
                <w:lang w:val="lt-LT" w:eastAsia="en-US" w:bidi="ar-SA"/>
              </w:rPr>
              <w:t>Tvirtinimo elementai</w:t>
            </w:r>
            <w:r>
              <w:rPr>
                <w:rFonts w:eastAsia="Calibri" w:cs="Arial" w:ascii="Arial" w:hAnsi="Arial"/>
                <w:kern w:val="0"/>
                <w:sz w:val="20"/>
                <w:szCs w:val="20"/>
                <w:lang w:val="lt-LT" w:eastAsia="en-US" w:bidi="ar-SA"/>
              </w:rPr>
              <w:t>: Gaminys turi tik keturis atramos taškus.</w:t>
            </w:r>
          </w:p>
          <w:p>
            <w:pPr>
              <w:pStyle w:val="Normal"/>
              <w:widowControl/>
              <w:suppressAutoHyphens w:val="true"/>
              <w:spacing w:before="0" w:after="0"/>
              <w:jc w:val="both"/>
              <w:rPr>
                <w:rFonts w:ascii="Arial" w:hAnsi="Arial" w:cs="Arial"/>
                <w:sz w:val="20"/>
                <w:szCs w:val="20"/>
                <w:lang w:val="lt-LT"/>
              </w:rPr>
            </w:pPr>
            <w:r>
              <w:rPr>
                <w:rFonts w:cs="Arial" w:ascii="Arial" w:hAnsi="Arial"/>
                <w:sz w:val="20"/>
                <w:szCs w:val="20"/>
                <w:lang w:val="lt-LT"/>
              </w:rPr>
            </w:r>
          </w:p>
          <w:p>
            <w:pPr>
              <w:pStyle w:val="Normal"/>
              <w:widowControl/>
              <w:suppressAutoHyphens w:val="true"/>
              <w:spacing w:before="0" w:after="0"/>
              <w:jc w:val="both"/>
              <w:rPr>
                <w:rFonts w:ascii="Arial" w:hAnsi="Arial" w:cs="Arial"/>
                <w:sz w:val="20"/>
                <w:szCs w:val="20"/>
              </w:rPr>
            </w:pPr>
            <w:r>
              <w:rPr>
                <w:rFonts w:eastAsia="Calibri" w:cs="Arial" w:ascii="Arial" w:hAnsi="Arial"/>
                <w:kern w:val="0"/>
                <w:sz w:val="20"/>
                <w:szCs w:val="20"/>
                <w:lang w:val="en-US" w:eastAsia="en-US" w:bidi="ar-SA"/>
              </w:rPr>
              <w:t>Gaminys susideda:</w:t>
            </w:r>
          </w:p>
          <w:p>
            <w:pPr>
              <w:pStyle w:val="Normal"/>
              <w:widowControl/>
              <w:suppressAutoHyphens w:val="true"/>
              <w:spacing w:before="0" w:after="0"/>
              <w:jc w:val="both"/>
              <w:rPr>
                <w:rFonts w:ascii="Arial" w:hAnsi="Arial" w:cs="Arial"/>
              </w:rPr>
            </w:pPr>
            <w:r>
              <w:rPr>
                <w:rFonts w:cs="Arial" w:ascii="Arial" w:hAnsi="Arial"/>
                <w:sz w:val="22"/>
              </w:rPr>
            </w:r>
          </w:p>
          <w:p>
            <w:pPr>
              <w:pStyle w:val="Normal"/>
              <w:widowControl/>
              <w:suppressAutoHyphens w:val="true"/>
              <w:spacing w:before="0" w:after="0"/>
              <w:jc w:val="both"/>
              <w:rPr>
                <w:rFonts w:ascii="Arial" w:hAnsi="Arial" w:cs="Arial"/>
                <w:sz w:val="20"/>
                <w:szCs w:val="20"/>
              </w:rPr>
            </w:pPr>
            <w:r>
              <w:rPr>
                <w:rFonts w:eastAsia="Calibri" w:cs="Arial" w:ascii="Arial" w:hAnsi="Arial"/>
                <w:kern w:val="0"/>
                <w:sz w:val="20"/>
                <w:szCs w:val="20"/>
                <w:lang w:val="en-US" w:eastAsia="en-US" w:bidi="ar-SA"/>
              </w:rPr>
              <w:t>-Vertikalaus laipiojimo piltuvo:</w:t>
            </w:r>
          </w:p>
          <w:p>
            <w:pPr>
              <w:pStyle w:val="Normal"/>
              <w:widowControl/>
              <w:suppressAutoHyphens w:val="true"/>
              <w:spacing w:before="0" w:after="0"/>
              <w:jc w:val="both"/>
              <w:rPr>
                <w:rFonts w:ascii="Arial" w:hAnsi="Arial" w:cs="Arial"/>
              </w:rPr>
            </w:pPr>
            <w:r>
              <w:rPr>
                <w:sz w:val="22"/>
              </w:rPr>
              <w:drawing>
                <wp:inline distT="0" distB="0" distL="0" distR="0">
                  <wp:extent cx="834390" cy="741045"/>
                  <wp:effectExtent l="0" t="0" r="0" b="0"/>
                  <wp:docPr id="48"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aveikslėlis 23"/>
                          <pic:cNvPicPr>
                            <a:picLocks noChangeAspect="1" noChangeArrowheads="1"/>
                          </pic:cNvPicPr>
                        </pic:nvPicPr>
                        <pic:blipFill>
                          <a:blip r:embed="rId50"/>
                          <a:stretch>
                            <a:fillRect/>
                          </a:stretch>
                        </pic:blipFill>
                        <pic:spPr bwMode="auto">
                          <a:xfrm>
                            <a:off x="0" y="0"/>
                            <a:ext cx="834390" cy="741045"/>
                          </a:xfrm>
                          <a:prstGeom prst="rect">
                            <a:avLst/>
                          </a:prstGeom>
                          <a:noFill/>
                        </pic:spPr>
                      </pic:pic>
                    </a:graphicData>
                  </a:graphic>
                </wp:inline>
              </w:drawing>
            </w:r>
          </w:p>
          <w:p>
            <w:pPr>
              <w:pStyle w:val="Normal"/>
              <w:widowControl/>
              <w:suppressAutoHyphens w:val="true"/>
              <w:spacing w:before="0" w:after="0"/>
              <w:jc w:val="both"/>
              <w:rPr>
                <w:rFonts w:ascii="Arial" w:hAnsi="Arial" w:cs="Arial"/>
                <w:sz w:val="20"/>
                <w:szCs w:val="20"/>
              </w:rPr>
            </w:pPr>
            <w:r>
              <w:rPr>
                <w:rFonts w:eastAsia="Calibri" w:cs="Arial" w:ascii="Arial" w:hAnsi="Arial"/>
                <w:kern w:val="0"/>
                <w:sz w:val="20"/>
                <w:szCs w:val="20"/>
                <w:lang w:val="en-US" w:eastAsia="en-US" w:bidi="ar-SA"/>
              </w:rPr>
              <w:t>-Horizontalaus tinklo ploto:</w:t>
            </w:r>
          </w:p>
          <w:p>
            <w:pPr>
              <w:pStyle w:val="Normal"/>
              <w:widowControl/>
              <w:suppressAutoHyphens w:val="true"/>
              <w:spacing w:before="0" w:after="0"/>
              <w:jc w:val="both"/>
              <w:rPr>
                <w:rFonts w:ascii="Arial" w:hAnsi="Arial" w:cs="Arial"/>
              </w:rPr>
            </w:pPr>
            <w:r>
              <w:rPr>
                <w:sz w:val="22"/>
              </w:rPr>
              <w:drawing>
                <wp:inline distT="0" distB="0" distL="0" distR="0">
                  <wp:extent cx="835025" cy="438150"/>
                  <wp:effectExtent l="0" t="0" r="0" b="0"/>
                  <wp:docPr id="49" name="Paveikslėlis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aveikslėlis 24"/>
                          <pic:cNvPicPr>
                            <a:picLocks noChangeAspect="1" noChangeArrowheads="1"/>
                          </pic:cNvPicPr>
                        </pic:nvPicPr>
                        <pic:blipFill>
                          <a:blip r:embed="rId51"/>
                          <a:stretch>
                            <a:fillRect/>
                          </a:stretch>
                        </pic:blipFill>
                        <pic:spPr bwMode="auto">
                          <a:xfrm>
                            <a:off x="0" y="0"/>
                            <a:ext cx="835025" cy="438150"/>
                          </a:xfrm>
                          <a:prstGeom prst="rect">
                            <a:avLst/>
                          </a:prstGeom>
                          <a:noFill/>
                        </pic:spPr>
                      </pic:pic>
                    </a:graphicData>
                  </a:graphic>
                </wp:inline>
              </w:drawing>
            </w:r>
          </w:p>
          <w:p>
            <w:pPr>
              <w:pStyle w:val="Normal"/>
              <w:widowControl/>
              <w:suppressAutoHyphens w:val="true"/>
              <w:spacing w:before="0" w:after="0"/>
              <w:jc w:val="both"/>
              <w:rPr>
                <w:rFonts w:ascii="Arial" w:hAnsi="Arial" w:cs="Arial"/>
                <w:sz w:val="20"/>
                <w:szCs w:val="20"/>
              </w:rPr>
            </w:pPr>
            <w:r>
              <w:rPr>
                <w:rFonts w:eastAsia="Calibri" w:cs="Arial" w:ascii="Arial" w:hAnsi="Arial"/>
                <w:kern w:val="0"/>
                <w:sz w:val="20"/>
                <w:szCs w:val="20"/>
                <w:lang w:val="en-US" w:eastAsia="en-US" w:bidi="ar-SA"/>
              </w:rPr>
              <w:t>-Laipiojimo slėnio „W“ formos:</w:t>
            </w:r>
          </w:p>
          <w:p>
            <w:pPr>
              <w:pStyle w:val="Normal"/>
              <w:widowControl/>
              <w:suppressAutoHyphens w:val="true"/>
              <w:spacing w:before="0" w:after="0"/>
              <w:jc w:val="both"/>
              <w:rPr>
                <w:rFonts w:ascii="Arial" w:hAnsi="Arial" w:cs="Arial"/>
              </w:rPr>
            </w:pPr>
            <w:r>
              <w:rPr>
                <w:sz w:val="22"/>
              </w:rPr>
              <w:drawing>
                <wp:inline distT="0" distB="0" distL="0" distR="0">
                  <wp:extent cx="880110" cy="541020"/>
                  <wp:effectExtent l="0" t="0" r="0" b="0"/>
                  <wp:docPr id="50" name="Paveikslėlis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aveikslėlis 25"/>
                          <pic:cNvPicPr>
                            <a:picLocks noChangeAspect="1" noChangeArrowheads="1"/>
                          </pic:cNvPicPr>
                        </pic:nvPicPr>
                        <pic:blipFill>
                          <a:blip r:embed="rId52"/>
                          <a:stretch>
                            <a:fillRect/>
                          </a:stretch>
                        </pic:blipFill>
                        <pic:spPr bwMode="auto">
                          <a:xfrm>
                            <a:off x="0" y="0"/>
                            <a:ext cx="880110" cy="541020"/>
                          </a:xfrm>
                          <a:prstGeom prst="rect">
                            <a:avLst/>
                          </a:prstGeom>
                          <a:noFill/>
                        </pic:spPr>
                      </pic:pic>
                    </a:graphicData>
                  </a:graphic>
                </wp:inline>
              </w:drawing>
            </w:r>
          </w:p>
          <w:p>
            <w:pPr>
              <w:pStyle w:val="Normal"/>
              <w:widowControl/>
              <w:suppressAutoHyphens w:val="true"/>
              <w:spacing w:before="0" w:after="0"/>
              <w:jc w:val="both"/>
              <w:rPr>
                <w:rFonts w:ascii="Arial" w:hAnsi="Arial" w:cs="Arial"/>
                <w:sz w:val="20"/>
                <w:szCs w:val="20"/>
              </w:rPr>
            </w:pPr>
            <w:r>
              <w:rPr>
                <w:rFonts w:cs="Arial" w:ascii="Arial" w:hAnsi="Arial"/>
                <w:sz w:val="20"/>
                <w:szCs w:val="20"/>
              </w:rPr>
            </w:r>
          </w:p>
          <w:p>
            <w:pPr>
              <w:pStyle w:val="Normal"/>
              <w:widowControl/>
              <w:suppressAutoHyphens w:val="true"/>
              <w:spacing w:before="0" w:after="0"/>
              <w:jc w:val="both"/>
              <w:rPr>
                <w:rFonts w:ascii="Arial" w:hAnsi="Arial" w:cs="Arial"/>
                <w:sz w:val="20"/>
                <w:szCs w:val="20"/>
              </w:rPr>
            </w:pPr>
            <w:r>
              <w:rPr>
                <w:rFonts w:eastAsia="Calibri" w:cs="Arial" w:ascii="Arial" w:hAnsi="Arial"/>
                <w:kern w:val="0"/>
                <w:sz w:val="20"/>
                <w:szCs w:val="20"/>
                <w:lang w:val="en-US" w:eastAsia="en-US" w:bidi="ar-SA"/>
              </w:rPr>
              <w:t>-Siūbavimo lynų zonos:</w:t>
            </w:r>
          </w:p>
          <w:p>
            <w:pPr>
              <w:pStyle w:val="Normal"/>
              <w:widowControl/>
              <w:suppressAutoHyphens w:val="true"/>
              <w:spacing w:before="0" w:after="0"/>
              <w:jc w:val="both"/>
              <w:rPr>
                <w:rFonts w:ascii="Arial" w:hAnsi="Arial" w:cs="Arial"/>
              </w:rPr>
            </w:pPr>
            <w:r>
              <w:rPr>
                <w:sz w:val="22"/>
              </w:rPr>
              <w:drawing>
                <wp:inline distT="0" distB="0" distL="0" distR="0">
                  <wp:extent cx="879475" cy="516890"/>
                  <wp:effectExtent l="0" t="0" r="0" b="0"/>
                  <wp:docPr id="51" name="Paveikslėlis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aveikslėlis 26"/>
                          <pic:cNvPicPr>
                            <a:picLocks noChangeAspect="1" noChangeArrowheads="1"/>
                          </pic:cNvPicPr>
                        </pic:nvPicPr>
                        <pic:blipFill>
                          <a:blip r:embed="rId53"/>
                          <a:stretch>
                            <a:fillRect/>
                          </a:stretch>
                        </pic:blipFill>
                        <pic:spPr bwMode="auto">
                          <a:xfrm>
                            <a:off x="0" y="0"/>
                            <a:ext cx="879475" cy="516890"/>
                          </a:xfrm>
                          <a:prstGeom prst="rect">
                            <a:avLst/>
                          </a:prstGeom>
                          <a:noFill/>
                        </pic:spPr>
                      </pic:pic>
                    </a:graphicData>
                  </a:graphic>
                </wp:inline>
              </w:drawing>
            </w:r>
          </w:p>
          <w:p>
            <w:pPr>
              <w:pStyle w:val="Normal"/>
              <w:widowControl/>
              <w:suppressAutoHyphens w:val="true"/>
              <w:spacing w:before="0" w:after="0"/>
              <w:jc w:val="both"/>
              <w:rPr>
                <w:rFonts w:ascii="Arial" w:hAnsi="Arial" w:cs="Arial"/>
                <w:sz w:val="20"/>
                <w:szCs w:val="20"/>
              </w:rPr>
            </w:pPr>
            <w:r>
              <w:rPr>
                <w:rFonts w:eastAsia="Calibri" w:cs="Arial" w:ascii="Arial" w:hAnsi="Arial"/>
                <w:kern w:val="0"/>
                <w:sz w:val="20"/>
                <w:szCs w:val="20"/>
                <w:lang w:val="en-US" w:eastAsia="en-US" w:bidi="ar-SA"/>
              </w:rPr>
              <w:t>-Membraninė čiuožynė:</w:t>
            </w:r>
          </w:p>
          <w:p>
            <w:pPr>
              <w:pStyle w:val="Normal"/>
              <w:widowControl/>
              <w:suppressAutoHyphens w:val="true"/>
              <w:spacing w:before="0" w:after="0"/>
              <w:jc w:val="both"/>
              <w:rPr>
                <w:rFonts w:ascii="Arial" w:hAnsi="Arial" w:cs="Arial"/>
                <w:sz w:val="20"/>
                <w:szCs w:val="20"/>
              </w:rPr>
            </w:pPr>
            <w:r>
              <w:rPr/>
              <w:drawing>
                <wp:inline distT="0" distB="0" distL="0" distR="0">
                  <wp:extent cx="946150" cy="692150"/>
                  <wp:effectExtent l="0" t="0" r="0" b="0"/>
                  <wp:docPr id="52" name="Paveikslėlis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aveikslėlis 27"/>
                          <pic:cNvPicPr>
                            <a:picLocks noChangeAspect="1" noChangeArrowheads="1"/>
                          </pic:cNvPicPr>
                        </pic:nvPicPr>
                        <pic:blipFill>
                          <a:blip r:embed="rId54"/>
                          <a:stretch>
                            <a:fillRect/>
                          </a:stretch>
                        </pic:blipFill>
                        <pic:spPr bwMode="auto">
                          <a:xfrm>
                            <a:off x="0" y="0"/>
                            <a:ext cx="946150" cy="692150"/>
                          </a:xfrm>
                          <a:prstGeom prst="rect">
                            <a:avLst/>
                          </a:prstGeom>
                          <a:noFill/>
                        </pic:spPr>
                      </pic:pic>
                    </a:graphicData>
                  </a:graphic>
                </wp:inline>
              </w:drawing>
            </w:r>
          </w:p>
          <w:p>
            <w:pPr>
              <w:pStyle w:val="Normal"/>
              <w:widowControl/>
              <w:suppressAutoHyphens w:val="true"/>
              <w:spacing w:before="0" w:after="0"/>
              <w:jc w:val="both"/>
              <w:rPr>
                <w:rFonts w:ascii="Arial" w:hAnsi="Arial" w:cs="Arial"/>
                <w:sz w:val="20"/>
                <w:szCs w:val="20"/>
              </w:rPr>
            </w:pPr>
            <w:r>
              <w:rPr>
                <w:rFonts w:cs="Arial" w:ascii="Arial" w:hAnsi="Arial"/>
                <w:sz w:val="20"/>
                <w:szCs w:val="20"/>
              </w:rPr>
            </w:r>
          </w:p>
          <w:p>
            <w:pPr>
              <w:pStyle w:val="Normal"/>
              <w:widowControl/>
              <w:suppressAutoHyphens w:val="true"/>
              <w:spacing w:before="0" w:after="0"/>
              <w:jc w:val="both"/>
              <w:rPr>
                <w:rFonts w:ascii="Arial" w:hAnsi="Arial" w:cs="Arial"/>
                <w:sz w:val="20"/>
                <w:szCs w:val="20"/>
              </w:rPr>
            </w:pPr>
            <w:r>
              <w:rPr>
                <w:rFonts w:eastAsia="Calibri" w:cs="Arial" w:ascii="Arial" w:hAnsi="Arial"/>
                <w:kern w:val="0"/>
                <w:sz w:val="20"/>
                <w:szCs w:val="20"/>
                <w:lang w:val="lt-LT" w:eastAsia="en-US" w:bidi="ar-SA"/>
              </w:rPr>
              <w:t>Gaminys pagamintas pagal ES naujausius gamtos tausojimo ir ekologijos standartus bei reikalavimus, šitam gaminiui pagaminti buvo perdirbta ir panaudota net 48,94% perdirbtų medžiagų kas padėjo išvengti didelio (CO</w:t>
            </w:r>
            <w:r>
              <w:rPr>
                <w:rFonts w:eastAsia="Calibri" w:cs="Cambria Math" w:ascii="Cambria Math" w:hAnsi="Cambria Math"/>
                <w:kern w:val="0"/>
                <w:sz w:val="20"/>
                <w:szCs w:val="20"/>
                <w:lang w:val="lt-LT" w:eastAsia="en-US" w:bidi="ar-SA"/>
              </w:rPr>
              <w:t>₂</w:t>
            </w:r>
            <w:r>
              <w:rPr>
                <w:rFonts w:eastAsia="Calibri" w:cs="Arial" w:ascii="Arial" w:hAnsi="Arial"/>
                <w:kern w:val="0"/>
                <w:sz w:val="20"/>
                <w:szCs w:val="20"/>
                <w:lang w:val="lt-LT" w:eastAsia="en-US" w:bidi="ar-SA"/>
              </w:rPr>
              <w:t>) išmetimo.</w:t>
            </w:r>
          </w:p>
          <w:p>
            <w:pPr>
              <w:pStyle w:val="Normal"/>
              <w:widowControl/>
              <w:suppressAutoHyphens w:val="true"/>
              <w:spacing w:before="0" w:after="0"/>
              <w:jc w:val="both"/>
              <w:rPr>
                <w:rFonts w:ascii="Arial" w:hAnsi="Arial" w:cs="Arial"/>
                <w:sz w:val="20"/>
                <w:szCs w:val="20"/>
              </w:rPr>
            </w:pPr>
            <w:r>
              <w:rPr>
                <w:rFonts w:eastAsia="Calibri" w:cs="Arial" w:ascii="Arial" w:hAnsi="Arial"/>
                <w:kern w:val="0"/>
                <w:sz w:val="20"/>
                <w:szCs w:val="20"/>
                <w:lang w:val="en-US" w:eastAsia="en-US" w:bidi="ar-SA"/>
              </w:rPr>
              <w:t xml:space="preserve">Garantijos: membranai 2 metai, visoms kitoms dalims 10 metų. </w:t>
            </w:r>
            <w:r>
              <w:rPr>
                <w:rFonts w:eastAsia="Calibri" w:cs="Arial" w:ascii="Arial" w:hAnsi="Arial"/>
                <w:kern w:val="0"/>
                <w:sz w:val="20"/>
                <w:szCs w:val="20"/>
                <w:lang w:val="lt-LT" w:eastAsia="en-US" w:bidi="ar-SA"/>
              </w:rPr>
              <w:t>Gaminys turi turėti TUV sertifikatą pagal EN1176-1.</w:t>
            </w:r>
          </w:p>
        </w:tc>
      </w:tr>
      <w:tr>
        <w:trPr>
          <w:trHeight w:val="3693" w:hRule="atLeast"/>
          <w:cantSplit w:val="true"/>
        </w:trPr>
        <w:tc>
          <w:tcPr>
            <w:tcW w:w="1120" w:type="dxa"/>
            <w:tcBorders>
              <w:top w:val="nil"/>
            </w:tcBorders>
            <w:vAlign w:val="center"/>
          </w:tcPr>
          <w:p>
            <w:pPr>
              <w:pStyle w:val="Normal"/>
              <w:widowControl/>
              <w:suppressAutoHyphens w:val="true"/>
              <w:spacing w:before="0" w:after="0"/>
              <w:jc w:val="center"/>
              <w:rPr>
                <w:rFonts w:eastAsia="Calibri"/>
                <w:kern w:val="0"/>
                <w:lang w:val="en-US" w:eastAsia="en-US" w:bidi="ar-SA"/>
              </w:rPr>
            </w:pPr>
            <w:r>
              <w:rPr>
                <w:rFonts w:eastAsia="Calibri" w:ascii="Arial" w:hAnsi="Arial"/>
                <w:kern w:val="0"/>
                <w:sz w:val="20"/>
                <w:szCs w:val="20"/>
                <w:lang w:val="en-US" w:eastAsia="en-US" w:bidi="ar-SA"/>
              </w:rPr>
              <w:t>ŽA02</w:t>
            </w:r>
          </w:p>
        </w:tc>
        <w:tc>
          <w:tcPr>
            <w:tcW w:w="3595" w:type="dxa"/>
            <w:tcBorders>
              <w:top w:val="nil"/>
            </w:tcBorders>
            <w:vAlign w:val="center"/>
          </w:tcPr>
          <w:p>
            <w:pPr>
              <w:pStyle w:val="Normal"/>
              <w:widowControl/>
              <w:suppressAutoHyphens w:val="true"/>
              <w:spacing w:before="0" w:after="0"/>
              <w:jc w:val="left"/>
              <w:rPr>
                <w:rFonts w:ascii="Arial" w:hAnsi="Arial"/>
                <w:b/>
                <w:bCs/>
                <w:sz w:val="20"/>
                <w:szCs w:val="20"/>
              </w:rPr>
            </w:pPr>
            <w:r>
              <w:rPr>
                <w:rFonts w:ascii="Arial" w:hAnsi="Arial"/>
                <w:b/>
                <w:bCs/>
                <w:sz w:val="20"/>
                <w:szCs w:val="20"/>
              </w:rPr>
              <w:drawing>
                <wp:anchor behindDoc="0" distT="0" distB="0" distL="0" distR="0" simplePos="0" locked="0" layoutInCell="1" allowOverlap="1" relativeHeight="202">
                  <wp:simplePos x="0" y="0"/>
                  <wp:positionH relativeFrom="column">
                    <wp:posOffset>-47625</wp:posOffset>
                  </wp:positionH>
                  <wp:positionV relativeFrom="paragraph">
                    <wp:posOffset>809625</wp:posOffset>
                  </wp:positionV>
                  <wp:extent cx="2150110" cy="1314450"/>
                  <wp:effectExtent l="0" t="0" r="0" b="0"/>
                  <wp:wrapSquare wrapText="largest"/>
                  <wp:docPr id="53" name="Imag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24"/>
                          <pic:cNvPicPr>
                            <a:picLocks noChangeAspect="1" noChangeArrowheads="1"/>
                          </pic:cNvPicPr>
                        </pic:nvPicPr>
                        <pic:blipFill>
                          <a:blip r:embed="rId55"/>
                          <a:stretch>
                            <a:fillRect/>
                          </a:stretch>
                        </pic:blipFill>
                        <pic:spPr bwMode="auto">
                          <a:xfrm>
                            <a:off x="0" y="0"/>
                            <a:ext cx="2150110" cy="1314450"/>
                          </a:xfrm>
                          <a:prstGeom prst="rect">
                            <a:avLst/>
                          </a:prstGeom>
                          <a:noFill/>
                        </pic:spPr>
                      </pic:pic>
                    </a:graphicData>
                  </a:graphic>
                </wp:anchor>
              </w:drawing>
            </w:r>
          </w:p>
          <w:p>
            <w:pPr>
              <w:pStyle w:val="Normal"/>
              <w:widowControl/>
              <w:suppressAutoHyphens w:val="true"/>
              <w:spacing w:before="0" w:after="200"/>
              <w:jc w:val="left"/>
              <w:rPr>
                <w:rFonts w:ascii="Arial" w:hAnsi="Arial"/>
                <w:sz w:val="20"/>
                <w:szCs w:val="20"/>
              </w:rPr>
            </w:pPr>
            <w:r>
              <w:rPr>
                <w:rFonts w:ascii="Arial" w:hAnsi="Arial"/>
                <w:sz w:val="20"/>
                <w:szCs w:val="20"/>
              </w:rPr>
            </w:r>
          </w:p>
          <w:p>
            <w:pPr>
              <w:pStyle w:val="Normal"/>
              <w:widowControl/>
              <w:suppressAutoHyphens w:val="true"/>
              <w:spacing w:before="0" w:after="200"/>
              <w:jc w:val="left"/>
              <w:rPr>
                <w:rFonts w:ascii="Arial" w:hAnsi="Arial"/>
                <w:sz w:val="20"/>
                <w:szCs w:val="20"/>
              </w:rPr>
            </w:pPr>
            <w:r>
              <w:rPr>
                <w:rFonts w:ascii="Arial" w:hAnsi="Arial"/>
                <w:sz w:val="20"/>
                <w:szCs w:val="20"/>
              </w:rPr>
            </w:r>
          </w:p>
          <w:p>
            <w:pPr>
              <w:pStyle w:val="Normal"/>
              <w:widowControl/>
              <w:suppressAutoHyphens w:val="true"/>
              <w:spacing w:before="0" w:after="200"/>
              <w:jc w:val="left"/>
              <w:rPr>
                <w:rFonts w:ascii="Arial" w:hAnsi="Arial"/>
                <w:sz w:val="20"/>
                <w:szCs w:val="20"/>
              </w:rPr>
            </w:pPr>
            <w:r>
              <w:rPr>
                <w:rFonts w:ascii="Arial" w:hAnsi="Arial"/>
                <w:sz w:val="20"/>
                <w:szCs w:val="20"/>
              </w:rPr>
            </w:r>
          </w:p>
          <w:p>
            <w:pPr>
              <w:pStyle w:val="Normal"/>
              <w:widowControl/>
              <w:suppressAutoHyphens w:val="true"/>
              <w:spacing w:before="0" w:after="200"/>
              <w:jc w:val="left"/>
              <w:rPr>
                <w:rFonts w:ascii="Arial" w:hAnsi="Arial"/>
                <w:sz w:val="20"/>
                <w:szCs w:val="20"/>
              </w:rPr>
            </w:pPr>
            <w:r>
              <w:rPr/>
              <w:drawing>
                <wp:inline distT="0" distB="0" distL="0" distR="0">
                  <wp:extent cx="2145665" cy="1710055"/>
                  <wp:effectExtent l="0" t="0" r="0" b="0"/>
                  <wp:docPr id="54"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aveikslėlis 13"/>
                          <pic:cNvPicPr>
                            <a:picLocks noChangeAspect="1" noChangeArrowheads="1"/>
                          </pic:cNvPicPr>
                        </pic:nvPicPr>
                        <pic:blipFill>
                          <a:blip r:embed="rId56"/>
                          <a:stretch>
                            <a:fillRect/>
                          </a:stretch>
                        </pic:blipFill>
                        <pic:spPr bwMode="auto">
                          <a:xfrm>
                            <a:off x="0" y="0"/>
                            <a:ext cx="2145665" cy="1710055"/>
                          </a:xfrm>
                          <a:prstGeom prst="rect">
                            <a:avLst/>
                          </a:prstGeom>
                          <a:noFill/>
                        </pic:spPr>
                      </pic:pic>
                    </a:graphicData>
                  </a:graphic>
                </wp:inline>
              </w:drawing>
            </w:r>
          </w:p>
          <w:p>
            <w:pPr>
              <w:pStyle w:val="Normal"/>
              <w:widowControl/>
              <w:suppressAutoHyphens w:val="true"/>
              <w:spacing w:before="0" w:after="200"/>
              <w:jc w:val="left"/>
              <w:rPr>
                <w:rFonts w:ascii="Arial" w:hAnsi="Arial"/>
                <w:sz w:val="20"/>
                <w:szCs w:val="20"/>
              </w:rPr>
            </w:pPr>
            <w:r>
              <w:rPr/>
              <w:drawing>
                <wp:inline distT="0" distB="0" distL="0" distR="0">
                  <wp:extent cx="2145665" cy="445770"/>
                  <wp:effectExtent l="0" t="0" r="0" b="0"/>
                  <wp:docPr id="55" name="Paveikslėlis 22" descr="Side View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aveikslėlis 22" descr="Side View (image)"/>
                          <pic:cNvPicPr>
                            <a:picLocks noChangeAspect="1" noChangeArrowheads="1"/>
                          </pic:cNvPicPr>
                        </pic:nvPicPr>
                        <pic:blipFill>
                          <a:blip r:embed="rId57"/>
                          <a:stretch>
                            <a:fillRect/>
                          </a:stretch>
                        </pic:blipFill>
                        <pic:spPr bwMode="auto">
                          <a:xfrm>
                            <a:off x="0" y="0"/>
                            <a:ext cx="2145665" cy="445770"/>
                          </a:xfrm>
                          <a:prstGeom prst="rect">
                            <a:avLst/>
                          </a:prstGeom>
                          <a:noFill/>
                        </pic:spPr>
                      </pic:pic>
                    </a:graphicData>
                  </a:graphic>
                </wp:inline>
              </w:drawing>
            </w:r>
          </w:p>
        </w:tc>
        <w:tc>
          <w:tcPr>
            <w:tcW w:w="5545" w:type="dxa"/>
            <w:tcBorders>
              <w:top w:val="nil"/>
            </w:tcBorders>
          </w:tcPr>
          <w:p>
            <w:pPr>
              <w:pStyle w:val="Normal"/>
              <w:widowControl/>
              <w:suppressAutoHyphens w:val="true"/>
              <w:spacing w:before="0" w:after="0"/>
              <w:jc w:val="left"/>
              <w:rPr>
                <w:rFonts w:eastAsia="Calibri"/>
                <w:kern w:val="0"/>
                <w:lang w:val="en-US" w:eastAsia="en-US" w:bidi="ar-SA"/>
              </w:rPr>
            </w:pPr>
            <w:r>
              <w:rPr>
                <w:rFonts w:eastAsia="Calibri" w:ascii="Arial" w:hAnsi="Arial"/>
                <w:b/>
                <w:bCs/>
                <w:kern w:val="0"/>
                <w:sz w:val="20"/>
                <w:szCs w:val="20"/>
                <w:lang w:val="en-US" w:eastAsia="en-US" w:bidi="ar-SA"/>
              </w:rPr>
              <w:t>Objektas:</w:t>
            </w:r>
            <w:r>
              <w:rPr>
                <w:rFonts w:eastAsia="Calibri" w:ascii="Arial" w:hAnsi="Arial"/>
                <w:kern w:val="0"/>
                <w:sz w:val="20"/>
                <w:szCs w:val="20"/>
                <w:lang w:val="en-US" w:eastAsia="en-US" w:bidi="ar-SA"/>
              </w:rPr>
              <w:t xml:space="preserve"> Vaikų žaidimų įrenginys ŽA02</w:t>
            </w:r>
          </w:p>
          <w:p>
            <w:pPr>
              <w:pStyle w:val="Normal"/>
              <w:widowControl/>
              <w:suppressAutoHyphens w:val="true"/>
              <w:spacing w:before="0" w:after="0"/>
              <w:jc w:val="left"/>
              <w:rPr>
                <w:rFonts w:eastAsia="Calibri"/>
                <w:kern w:val="0"/>
                <w:lang w:val="en-US" w:eastAsia="en-US" w:bidi="ar-SA"/>
              </w:rPr>
            </w:pPr>
            <w:r>
              <w:rPr>
                <w:rFonts w:eastAsia="Calibri" w:ascii="Arial" w:hAnsi="Arial"/>
                <w:b/>
                <w:bCs/>
                <w:kern w:val="0"/>
                <w:sz w:val="20"/>
                <w:szCs w:val="20"/>
                <w:lang w:val="en-US" w:eastAsia="en-US" w:bidi="ar-SA"/>
              </w:rPr>
              <w:t xml:space="preserve">Matmenys: </w:t>
            </w:r>
            <w:r>
              <w:rPr>
                <w:rFonts w:eastAsia="Calibri" w:ascii="Arial" w:hAnsi="Arial"/>
                <w:kern w:val="0"/>
                <w:sz w:val="20"/>
                <w:szCs w:val="20"/>
                <w:lang w:val="en-US" w:eastAsia="en-US" w:bidi="ar-SA"/>
              </w:rPr>
              <w:t>206x206x60 cm</w:t>
            </w:r>
          </w:p>
          <w:p>
            <w:pPr>
              <w:pStyle w:val="Normal"/>
              <w:widowControl/>
              <w:suppressAutoHyphens w:val="true"/>
              <w:spacing w:before="0" w:after="0"/>
              <w:jc w:val="left"/>
              <w:rPr>
                <w:rFonts w:eastAsia="Calibri"/>
                <w:kern w:val="0"/>
                <w:lang w:val="en-US" w:eastAsia="en-US" w:bidi="ar-SA"/>
              </w:rPr>
            </w:pPr>
            <w:r>
              <w:rPr>
                <w:rFonts w:eastAsia="Calibri" w:ascii="Arial" w:hAnsi="Arial"/>
                <w:b/>
                <w:bCs/>
                <w:kern w:val="0"/>
                <w:sz w:val="20"/>
                <w:szCs w:val="20"/>
                <w:lang w:val="en-US" w:eastAsia="en-US" w:bidi="ar-SA"/>
              </w:rPr>
              <w:t>Amžiaus grupė:</w:t>
            </w:r>
            <w:r>
              <w:rPr>
                <w:rFonts w:eastAsia="Calibri" w:ascii="Arial" w:hAnsi="Arial"/>
                <w:kern w:val="0"/>
                <w:sz w:val="20"/>
                <w:szCs w:val="20"/>
                <w:lang w:val="en-US" w:eastAsia="en-US" w:bidi="ar-SA"/>
              </w:rPr>
              <w:t xml:space="preserve"> 6+</w:t>
            </w:r>
          </w:p>
          <w:p>
            <w:pPr>
              <w:pStyle w:val="Normal"/>
              <w:widowControl/>
              <w:suppressAutoHyphens w:val="true"/>
              <w:spacing w:before="0" w:after="0"/>
              <w:jc w:val="left"/>
              <w:rPr>
                <w:rFonts w:eastAsia="Calibri"/>
                <w:kern w:val="0"/>
                <w:lang w:val="en-US" w:eastAsia="en-US" w:bidi="ar-SA"/>
              </w:rPr>
            </w:pPr>
            <w:r>
              <w:rPr>
                <w:rFonts w:eastAsia="Calibri" w:ascii="Arial" w:hAnsi="Arial"/>
                <w:b/>
                <w:bCs/>
                <w:kern w:val="0"/>
                <w:sz w:val="20"/>
                <w:szCs w:val="20"/>
                <w:lang w:val="en-US" w:eastAsia="en-US" w:bidi="ar-SA"/>
              </w:rPr>
              <w:t xml:space="preserve">Maksimalus galimas kritimo aukštis: </w:t>
            </w:r>
            <w:r>
              <w:rPr>
                <w:rFonts w:eastAsia="Calibri" w:ascii="Arial" w:hAnsi="Arial"/>
                <w:kern w:val="0"/>
                <w:sz w:val="20"/>
                <w:szCs w:val="20"/>
                <w:lang w:val="en-US" w:eastAsia="en-US" w:bidi="ar-SA"/>
              </w:rPr>
              <w:t>100 cm</w:t>
            </w:r>
          </w:p>
          <w:p>
            <w:pPr>
              <w:pStyle w:val="Normal"/>
              <w:widowControl/>
              <w:suppressAutoHyphens w:val="true"/>
              <w:spacing w:before="0" w:after="0"/>
              <w:jc w:val="left"/>
              <w:rPr>
                <w:rFonts w:eastAsia="Calibri"/>
                <w:kern w:val="0"/>
                <w:lang w:val="en-US" w:eastAsia="en-US" w:bidi="ar-SA"/>
              </w:rPr>
            </w:pPr>
            <w:r>
              <w:rPr>
                <w:rFonts w:eastAsia="Calibri" w:ascii="Arial" w:hAnsi="Arial"/>
                <w:b/>
                <w:bCs/>
                <w:kern w:val="0"/>
                <w:sz w:val="20"/>
                <w:szCs w:val="20"/>
                <w:lang w:val="en-US" w:eastAsia="en-US" w:bidi="ar-SA"/>
              </w:rPr>
              <w:t xml:space="preserve">Saugumo zona: </w:t>
            </w:r>
            <w:r>
              <w:rPr>
                <w:rFonts w:eastAsia="Calibri" w:ascii="Arial" w:hAnsi="Arial"/>
                <w:kern w:val="0"/>
                <w:sz w:val="20"/>
                <w:szCs w:val="20"/>
                <w:lang w:val="en-US" w:eastAsia="en-US" w:bidi="ar-SA"/>
              </w:rPr>
              <w:t>28,9 m</w:t>
            </w:r>
            <w:r>
              <w:rPr>
                <w:rFonts w:eastAsia="Calibri" w:ascii="Arial" w:hAnsi="Arial"/>
                <w:kern w:val="0"/>
                <w:sz w:val="20"/>
                <w:szCs w:val="20"/>
                <w:vertAlign w:val="superscript"/>
                <w:lang w:val="en-US" w:eastAsia="en-US" w:bidi="ar-SA"/>
              </w:rPr>
              <w:t>2</w:t>
            </w:r>
          </w:p>
          <w:p>
            <w:pPr>
              <w:pStyle w:val="Normal"/>
              <w:widowControl/>
              <w:suppressAutoHyphens w:val="true"/>
              <w:spacing w:before="0" w:after="200"/>
              <w:jc w:val="left"/>
              <w:rPr>
                <w:rFonts w:ascii="Arial" w:hAnsi="Arial" w:cs="Arial"/>
                <w:sz w:val="22"/>
                <w:szCs w:val="22"/>
                <w:lang w:eastAsia="lt-LT"/>
              </w:rPr>
            </w:pPr>
            <w:r>
              <w:rPr>
                <w:rFonts w:eastAsia="Calibri" w:ascii="Arial" w:hAnsi="Arial"/>
                <w:b/>
                <w:bCs/>
                <w:kern w:val="0"/>
                <w:sz w:val="20"/>
                <w:szCs w:val="20"/>
                <w:lang w:val="en-US" w:eastAsia="en-US" w:bidi="ar-SA"/>
              </w:rPr>
              <w:t xml:space="preserve">Aprašas: </w:t>
            </w:r>
            <w:r>
              <w:rPr>
                <w:rFonts w:eastAsia="Calibri" w:cs="Arial" w:ascii="Arial" w:hAnsi="Arial"/>
                <w:kern w:val="0"/>
                <w:sz w:val="20"/>
                <w:szCs w:val="20"/>
                <w:lang w:val="lt-LT" w:eastAsia="en-US" w:bidi="ar-SA"/>
              </w:rPr>
              <w:t xml:space="preserve">Unikali karuselė be centrinio taško, pasvirusi 10° kampu, todėl vaikštant žiedu ji sukasi. </w:t>
            </w:r>
            <w:r>
              <w:rPr>
                <w:rFonts w:eastAsia="Calibri" w:cs="Arial" w:ascii="Arial" w:hAnsi="Arial"/>
                <w:kern w:val="0"/>
                <w:sz w:val="20"/>
                <w:szCs w:val="20"/>
                <w:lang w:val="en-US" w:eastAsia="lt-LT" w:bidi="ar-SA"/>
              </w:rPr>
              <w:t>Įrenginys montuojamas - nemažiau kaip ant penkių atramų</w:t>
            </w:r>
            <w:r>
              <w:rPr>
                <w:rFonts w:eastAsia="Calibri" w:cs="Arial" w:ascii="Arial" w:hAnsi="Arial"/>
                <w:kern w:val="0"/>
                <w:sz w:val="22"/>
                <w:szCs w:val="22"/>
                <w:lang w:val="en-US" w:eastAsia="lt-LT" w:bidi="ar-SA"/>
              </w:rPr>
              <w:t xml:space="preserve">. </w:t>
            </w:r>
            <w:r>
              <w:rPr>
                <w:rFonts w:eastAsia="Calibri" w:cs="Arial" w:ascii="Arial" w:hAnsi="Arial"/>
                <w:kern w:val="0"/>
                <w:sz w:val="20"/>
                <w:szCs w:val="20"/>
                <w:lang w:val="en-US" w:eastAsia="lt-LT" w:bidi="ar-SA"/>
              </w:rPr>
              <w:t xml:space="preserve">Skersinės ir atraminės kojos pagamintos iš karštai cinkuotų nemažiau Ø 60,3 x 4,5 mm ir Ø 38 x 4 mm plieno vamzdžių. Pamatų gylis 60 cm. Bendras aukštis nuo paviršiaus 60 cm. </w:t>
            </w:r>
            <w:r>
              <w:rPr>
                <w:rFonts w:eastAsia="Calibri" w:cs="Arial" w:ascii="Arial" w:hAnsi="Arial"/>
                <w:kern w:val="0"/>
                <w:sz w:val="20"/>
                <w:szCs w:val="20"/>
                <w:lang w:val="lt-LT" w:eastAsia="en-US" w:bidi="ar-SA"/>
              </w:rPr>
              <w:t>Išorinis žiedo skersmuo nemažiau 206 cm, o viršutinis taškas virš žemės yra 60cm virš žemės lygio. Septyni žiedų segmentai pagaminti iš mažo tankio polietileno, pasižyminčiu dideliu atsparumu smūgiams ir tinkamo naudoti dideliame temperatūrų intervale. Kiekviename segmente iš abiejų pusių integruotos rankenos ir neslidus viršutinis paviršius saugiam naudojimuisi. Karuselė suprojektuota su priežiūros nereikalaujančia vertikalių ir horizontalių guolių sistema. Ji visiškai uždara ir užsandarinta dviem guminiais apvadais. Penkios karštai cinkuotos kojos, atsparios korozijai ir nereikalauja daug priežiūros. Karuselė pagaminta iš rotaciniu būdu suformuoto polietileno mišinio, pagaminto iš 33% po vartojimo likusių medžiagų, o jo paviršiaus tekstūra neslidi. Gaminys pagamintas pagal ES naujausius gamtos tausojimo ir ekologijos standartus bei reikalavimus, šitam gaminiui pagaminti buvo perdirbta ir panaudota net 44,65% perdirbtų medžiagų kas padėjo išvengti didelio (CO</w:t>
            </w:r>
            <w:r>
              <w:rPr>
                <w:rFonts w:eastAsia="Calibri" w:cs="Cambria Math" w:ascii="Cambria Math" w:hAnsi="Cambria Math"/>
                <w:kern w:val="0"/>
                <w:sz w:val="20"/>
                <w:szCs w:val="20"/>
                <w:lang w:val="lt-LT" w:eastAsia="en-US" w:bidi="ar-SA"/>
              </w:rPr>
              <w:t>₂</w:t>
            </w:r>
            <w:r>
              <w:rPr>
                <w:rFonts w:eastAsia="Calibri" w:cs="Arial" w:ascii="Arial" w:hAnsi="Arial"/>
                <w:kern w:val="0"/>
                <w:sz w:val="20"/>
                <w:szCs w:val="20"/>
                <w:lang w:val="lt-LT" w:eastAsia="en-US" w:bidi="ar-SA"/>
              </w:rPr>
              <w:t xml:space="preserve">) išmetimo. Visos medžiagos </w:t>
            </w:r>
            <w:r>
              <w:rPr>
                <w:rFonts w:eastAsia="Calibri" w:cs="Arial" w:ascii="Arial" w:hAnsi="Arial"/>
                <w:kern w:val="0"/>
                <w:sz w:val="20"/>
                <w:szCs w:val="20"/>
                <w:lang w:val="en-US" w:eastAsia="lt-LT" w:bidi="ar-SA"/>
              </w:rPr>
              <w:t>pritaikytos temperatūros svyravimams nuo - 30 iki + 60</w:t>
            </w:r>
            <w:r>
              <w:rPr>
                <w:rFonts w:eastAsia="Calibri" w:cs="Arial" w:ascii="Arial" w:hAnsi="Arial"/>
                <w:kern w:val="0"/>
                <w:sz w:val="22"/>
                <w:szCs w:val="22"/>
                <w:lang w:val="en-US" w:eastAsia="lt-LT" w:bidi="ar-SA"/>
              </w:rPr>
              <w:t xml:space="preserve">. </w:t>
            </w:r>
            <w:r>
              <w:rPr>
                <w:rFonts w:eastAsia="Calibri" w:cs="Arial" w:ascii="Arial" w:hAnsi="Arial"/>
                <w:kern w:val="0"/>
                <w:sz w:val="20"/>
                <w:szCs w:val="20"/>
                <w:lang w:val="lt-LT" w:eastAsia="en-US" w:bidi="ar-SA"/>
              </w:rPr>
              <w:t>Gaminio garantijos: karštai cinkuotas plienas- amžina; tuščiavidurės PE dalys, jungčių laikikliai - 10 metų; guolių sistema - 5 metai. Gaminys turi turėti TUV sertifikatą pagal EN1176-1 ir EN1176-5. Gaminiu saugiai gali naudotis įvairių negalių turintys asmenys.</w:t>
            </w:r>
          </w:p>
        </w:tc>
      </w:tr>
      <w:tr>
        <w:trPr>
          <w:trHeight w:val="3693" w:hRule="atLeast"/>
          <w:cantSplit w:val="true"/>
        </w:trPr>
        <w:tc>
          <w:tcPr>
            <w:tcW w:w="1120" w:type="dxa"/>
            <w:tcBorders>
              <w:top w:val="nil"/>
            </w:tcBorders>
            <w:vAlign w:val="center"/>
          </w:tcPr>
          <w:p>
            <w:pPr>
              <w:pStyle w:val="Normal"/>
              <w:widowControl/>
              <w:suppressAutoHyphens w:val="true"/>
              <w:spacing w:before="0" w:after="0"/>
              <w:jc w:val="center"/>
              <w:rPr>
                <w:rFonts w:eastAsia="Calibri"/>
                <w:kern w:val="0"/>
                <w:lang w:val="en-US" w:eastAsia="en-US" w:bidi="ar-SA"/>
              </w:rPr>
            </w:pPr>
            <w:r>
              <w:rPr>
                <w:rFonts w:eastAsia="Calibri" w:ascii="Arial" w:hAnsi="Arial"/>
                <w:kern w:val="0"/>
                <w:sz w:val="20"/>
                <w:szCs w:val="20"/>
                <w:lang w:val="en-US" w:eastAsia="en-US" w:bidi="ar-SA"/>
              </w:rPr>
              <w:t>ŽA03</w:t>
            </w:r>
          </w:p>
        </w:tc>
        <w:tc>
          <w:tcPr>
            <w:tcW w:w="3595" w:type="dxa"/>
            <w:tcBorders>
              <w:top w:val="nil"/>
            </w:tcBorders>
            <w:vAlign w:val="center"/>
          </w:tcPr>
          <w:p>
            <w:pPr>
              <w:pStyle w:val="Normal"/>
              <w:widowControl/>
              <w:suppressAutoHyphens w:val="true"/>
              <w:spacing w:before="0" w:after="0"/>
              <w:jc w:val="left"/>
              <w:rPr>
                <w:rFonts w:ascii="Arial" w:hAnsi="Arial"/>
                <w:b/>
                <w:bCs/>
                <w:sz w:val="20"/>
                <w:szCs w:val="20"/>
              </w:rPr>
            </w:pPr>
            <w:r>
              <w:rPr>
                <w:rFonts w:ascii="Arial" w:hAnsi="Arial"/>
                <w:b/>
                <w:bCs/>
                <w:sz w:val="20"/>
                <w:szCs w:val="20"/>
              </w:rPr>
              <w:drawing>
                <wp:anchor behindDoc="0" distT="0" distB="0" distL="0" distR="0" simplePos="0" locked="0" layoutInCell="1" allowOverlap="1" relativeHeight="203">
                  <wp:simplePos x="0" y="0"/>
                  <wp:positionH relativeFrom="column">
                    <wp:posOffset>683895</wp:posOffset>
                  </wp:positionH>
                  <wp:positionV relativeFrom="paragraph">
                    <wp:posOffset>539115</wp:posOffset>
                  </wp:positionV>
                  <wp:extent cx="2150110" cy="1503045"/>
                  <wp:effectExtent l="0" t="0" r="0" b="0"/>
                  <wp:wrapSquare wrapText="largest"/>
                  <wp:docPr id="56" name="Image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5"/>
                          <pic:cNvPicPr>
                            <a:picLocks noChangeAspect="1" noChangeArrowheads="1"/>
                          </pic:cNvPicPr>
                        </pic:nvPicPr>
                        <pic:blipFill>
                          <a:blip r:embed="rId58"/>
                          <a:stretch>
                            <a:fillRect/>
                          </a:stretch>
                        </pic:blipFill>
                        <pic:spPr bwMode="auto">
                          <a:xfrm>
                            <a:off x="0" y="0"/>
                            <a:ext cx="2150110" cy="1503045"/>
                          </a:xfrm>
                          <a:prstGeom prst="rect">
                            <a:avLst/>
                          </a:prstGeom>
                          <a:noFill/>
                        </pic:spPr>
                      </pic:pic>
                    </a:graphicData>
                  </a:graphic>
                </wp:anchor>
              </w:drawing>
            </w:r>
          </w:p>
          <w:p>
            <w:pPr>
              <w:pStyle w:val="Normal"/>
              <w:widowControl/>
              <w:suppressAutoHyphens w:val="true"/>
              <w:spacing w:before="0" w:after="200"/>
              <w:jc w:val="left"/>
              <w:rPr>
                <w:rFonts w:ascii="Arial" w:hAnsi="Arial"/>
                <w:sz w:val="20"/>
                <w:szCs w:val="20"/>
              </w:rPr>
            </w:pPr>
            <w:r>
              <w:rPr>
                <w:rFonts w:ascii="Arial" w:hAnsi="Arial"/>
                <w:sz w:val="20"/>
                <w:szCs w:val="20"/>
              </w:rPr>
            </w:r>
          </w:p>
          <w:p>
            <w:pPr>
              <w:pStyle w:val="Normal"/>
              <w:widowControl/>
              <w:suppressAutoHyphens w:val="true"/>
              <w:spacing w:before="0" w:after="200"/>
              <w:jc w:val="left"/>
              <w:rPr>
                <w:rFonts w:ascii="Arial" w:hAnsi="Arial"/>
                <w:sz w:val="20"/>
                <w:szCs w:val="20"/>
              </w:rPr>
            </w:pPr>
            <w:r>
              <w:rPr/>
              <w:drawing>
                <wp:inline distT="0" distB="0" distL="0" distR="0">
                  <wp:extent cx="2067560" cy="1986280"/>
                  <wp:effectExtent l="0" t="0" r="0" b="0"/>
                  <wp:docPr id="57"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aveikslėlis 12"/>
                          <pic:cNvPicPr>
                            <a:picLocks noChangeAspect="1" noChangeArrowheads="1"/>
                          </pic:cNvPicPr>
                        </pic:nvPicPr>
                        <pic:blipFill>
                          <a:blip r:embed="rId59"/>
                          <a:stretch>
                            <a:fillRect/>
                          </a:stretch>
                        </pic:blipFill>
                        <pic:spPr bwMode="auto">
                          <a:xfrm>
                            <a:off x="0" y="0"/>
                            <a:ext cx="2067560" cy="1986280"/>
                          </a:xfrm>
                          <a:prstGeom prst="rect">
                            <a:avLst/>
                          </a:prstGeom>
                          <a:noFill/>
                        </pic:spPr>
                      </pic:pic>
                    </a:graphicData>
                  </a:graphic>
                </wp:inline>
              </w:drawing>
            </w:r>
          </w:p>
          <w:p>
            <w:pPr>
              <w:pStyle w:val="Normal"/>
              <w:widowControl/>
              <w:suppressAutoHyphens w:val="true"/>
              <w:spacing w:before="0" w:after="200"/>
              <w:jc w:val="left"/>
              <w:rPr>
                <w:rFonts w:ascii="Arial" w:hAnsi="Arial"/>
                <w:sz w:val="20"/>
                <w:szCs w:val="20"/>
              </w:rPr>
            </w:pPr>
            <w:r>
              <w:rPr/>
              <w:drawing>
                <wp:inline distT="0" distB="0" distL="0" distR="0">
                  <wp:extent cx="2145665" cy="424815"/>
                  <wp:effectExtent l="0" t="0" r="0" b="0"/>
                  <wp:docPr id="58" name="Paveikslėlis 21" descr="Side View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aveikslėlis 21" descr="Side View (image)"/>
                          <pic:cNvPicPr>
                            <a:picLocks noChangeAspect="1" noChangeArrowheads="1"/>
                          </pic:cNvPicPr>
                        </pic:nvPicPr>
                        <pic:blipFill>
                          <a:blip r:embed="rId60"/>
                          <a:stretch>
                            <a:fillRect/>
                          </a:stretch>
                        </pic:blipFill>
                        <pic:spPr bwMode="auto">
                          <a:xfrm>
                            <a:off x="0" y="0"/>
                            <a:ext cx="2145665" cy="424815"/>
                          </a:xfrm>
                          <a:prstGeom prst="rect">
                            <a:avLst/>
                          </a:prstGeom>
                          <a:noFill/>
                        </pic:spPr>
                      </pic:pic>
                    </a:graphicData>
                  </a:graphic>
                </wp:inline>
              </w:drawing>
            </w:r>
          </w:p>
          <w:p>
            <w:pPr>
              <w:pStyle w:val="Normal"/>
              <w:widowControl/>
              <w:suppressAutoHyphens w:val="true"/>
              <w:spacing w:before="0" w:after="200"/>
              <w:jc w:val="left"/>
              <w:rPr>
                <w:rFonts w:ascii="Arial" w:hAnsi="Arial"/>
                <w:sz w:val="20"/>
                <w:szCs w:val="20"/>
              </w:rPr>
            </w:pPr>
            <w:r>
              <w:rPr>
                <w:rFonts w:ascii="Arial" w:hAnsi="Arial"/>
                <w:sz w:val="20"/>
                <w:szCs w:val="20"/>
              </w:rPr>
            </w:r>
          </w:p>
        </w:tc>
        <w:tc>
          <w:tcPr>
            <w:tcW w:w="5545" w:type="dxa"/>
            <w:tcBorders>
              <w:top w:val="nil"/>
            </w:tcBorders>
          </w:tcPr>
          <w:p>
            <w:pPr>
              <w:pStyle w:val="Normal"/>
              <w:widowControl/>
              <w:suppressAutoHyphens w:val="true"/>
              <w:spacing w:before="0" w:after="0"/>
              <w:jc w:val="left"/>
              <w:rPr>
                <w:rFonts w:eastAsia="Calibri"/>
                <w:kern w:val="0"/>
                <w:lang w:val="en-US" w:eastAsia="en-US" w:bidi="ar-SA"/>
              </w:rPr>
            </w:pPr>
            <w:r>
              <w:rPr>
                <w:rFonts w:eastAsia="Calibri" w:ascii="Arial" w:hAnsi="Arial"/>
                <w:b/>
                <w:bCs/>
                <w:kern w:val="0"/>
                <w:sz w:val="20"/>
                <w:szCs w:val="20"/>
                <w:lang w:val="en-US" w:eastAsia="en-US" w:bidi="ar-SA"/>
              </w:rPr>
              <w:t>Objektas:</w:t>
            </w:r>
            <w:r>
              <w:rPr>
                <w:rFonts w:eastAsia="Calibri" w:ascii="Arial" w:hAnsi="Arial"/>
                <w:kern w:val="0"/>
                <w:sz w:val="20"/>
                <w:szCs w:val="20"/>
                <w:lang w:val="en-US" w:eastAsia="en-US" w:bidi="ar-SA"/>
              </w:rPr>
              <w:t xml:space="preserve"> Vaikų žaidimų įrenginys ŽA03</w:t>
            </w:r>
          </w:p>
          <w:p>
            <w:pPr>
              <w:pStyle w:val="Normal"/>
              <w:widowControl/>
              <w:suppressAutoHyphens w:val="true"/>
              <w:spacing w:before="0" w:after="0"/>
              <w:jc w:val="left"/>
              <w:rPr>
                <w:rFonts w:eastAsia="Calibri"/>
                <w:kern w:val="0"/>
                <w:lang w:val="en-US" w:eastAsia="en-US" w:bidi="ar-SA"/>
              </w:rPr>
            </w:pPr>
            <w:r>
              <w:rPr>
                <w:rFonts w:eastAsia="Calibri" w:ascii="Arial" w:hAnsi="Arial"/>
                <w:b/>
                <w:bCs/>
                <w:kern w:val="0"/>
                <w:sz w:val="20"/>
                <w:szCs w:val="20"/>
                <w:lang w:val="en-US" w:eastAsia="en-US" w:bidi="ar-SA"/>
              </w:rPr>
              <w:t xml:space="preserve">Matmenys: </w:t>
            </w:r>
            <w:r>
              <w:rPr>
                <w:rFonts w:eastAsia="Calibri" w:ascii="Arial" w:hAnsi="Arial"/>
                <w:kern w:val="0"/>
                <w:sz w:val="20"/>
                <w:szCs w:val="20"/>
                <w:lang w:val="en-US" w:eastAsia="en-US" w:bidi="ar-SA"/>
              </w:rPr>
              <w:t>176x176x77 cm</w:t>
            </w:r>
          </w:p>
          <w:p>
            <w:pPr>
              <w:pStyle w:val="Normal"/>
              <w:widowControl/>
              <w:suppressAutoHyphens w:val="true"/>
              <w:spacing w:before="0" w:after="0"/>
              <w:jc w:val="left"/>
              <w:rPr>
                <w:rFonts w:eastAsia="Calibri"/>
                <w:kern w:val="0"/>
                <w:lang w:val="en-US" w:eastAsia="en-US" w:bidi="ar-SA"/>
              </w:rPr>
            </w:pPr>
            <w:r>
              <w:rPr>
                <w:rFonts w:eastAsia="Calibri" w:ascii="Arial" w:hAnsi="Arial"/>
                <w:b/>
                <w:bCs/>
                <w:kern w:val="0"/>
                <w:sz w:val="20"/>
                <w:szCs w:val="20"/>
                <w:lang w:val="en-US" w:eastAsia="en-US" w:bidi="ar-SA"/>
              </w:rPr>
              <w:t xml:space="preserve">Amžiaus grupė: </w:t>
            </w:r>
            <w:r>
              <w:rPr>
                <w:rFonts w:eastAsia="Calibri" w:ascii="Arial" w:hAnsi="Arial"/>
                <w:kern w:val="0"/>
                <w:sz w:val="20"/>
                <w:szCs w:val="20"/>
                <w:lang w:val="en-US" w:eastAsia="en-US" w:bidi="ar-SA"/>
              </w:rPr>
              <w:t>3+</w:t>
            </w:r>
          </w:p>
          <w:p>
            <w:pPr>
              <w:pStyle w:val="Normal"/>
              <w:widowControl/>
              <w:suppressAutoHyphens w:val="true"/>
              <w:spacing w:before="0" w:after="0"/>
              <w:jc w:val="left"/>
              <w:rPr>
                <w:rFonts w:eastAsia="Calibri"/>
                <w:kern w:val="0"/>
                <w:lang w:val="en-US" w:eastAsia="en-US" w:bidi="ar-SA"/>
              </w:rPr>
            </w:pPr>
            <w:r>
              <w:rPr>
                <w:rFonts w:eastAsia="Calibri" w:ascii="Arial" w:hAnsi="Arial"/>
                <w:b/>
                <w:bCs/>
                <w:kern w:val="0"/>
                <w:sz w:val="20"/>
                <w:szCs w:val="20"/>
                <w:lang w:val="en-US" w:eastAsia="en-US" w:bidi="ar-SA"/>
              </w:rPr>
              <w:t>Maksimalus galimas kritimo aukštis:</w:t>
            </w:r>
            <w:r>
              <w:rPr>
                <w:rFonts w:eastAsia="Calibri" w:ascii="Arial" w:hAnsi="Arial"/>
                <w:kern w:val="0"/>
                <w:sz w:val="20"/>
                <w:szCs w:val="20"/>
                <w:lang w:val="en-US" w:eastAsia="en-US" w:bidi="ar-SA"/>
              </w:rPr>
              <w:t xml:space="preserve"> 100 cm</w:t>
            </w:r>
          </w:p>
          <w:p>
            <w:pPr>
              <w:pStyle w:val="Normal"/>
              <w:widowControl/>
              <w:suppressAutoHyphens w:val="true"/>
              <w:spacing w:before="0" w:after="0"/>
              <w:jc w:val="left"/>
              <w:rPr>
                <w:rFonts w:eastAsia="Calibri"/>
                <w:kern w:val="0"/>
                <w:lang w:val="en-US" w:eastAsia="en-US" w:bidi="ar-SA"/>
              </w:rPr>
            </w:pPr>
            <w:r>
              <w:rPr>
                <w:rFonts w:eastAsia="Calibri" w:ascii="Arial" w:hAnsi="Arial"/>
                <w:b/>
                <w:bCs/>
                <w:kern w:val="0"/>
                <w:sz w:val="20"/>
                <w:szCs w:val="20"/>
                <w:lang w:val="en-US" w:eastAsia="en-US" w:bidi="ar-SA"/>
              </w:rPr>
              <w:t xml:space="preserve">Saugumo zona: </w:t>
            </w:r>
            <w:r>
              <w:rPr>
                <w:rFonts w:eastAsia="Calibri" w:ascii="Arial" w:hAnsi="Arial"/>
                <w:kern w:val="0"/>
                <w:sz w:val="20"/>
                <w:szCs w:val="20"/>
                <w:lang w:val="en-US" w:eastAsia="en-US" w:bidi="ar-SA"/>
              </w:rPr>
              <w:t>26,1 m</w:t>
            </w:r>
            <w:r>
              <w:rPr>
                <w:rFonts w:eastAsia="Calibri" w:ascii="Arial" w:hAnsi="Arial"/>
                <w:kern w:val="0"/>
                <w:sz w:val="20"/>
                <w:szCs w:val="20"/>
                <w:vertAlign w:val="superscript"/>
                <w:lang w:val="en-US" w:eastAsia="en-US" w:bidi="ar-SA"/>
              </w:rPr>
              <w:t>2</w:t>
            </w:r>
          </w:p>
          <w:p>
            <w:pPr>
              <w:pStyle w:val="Normal"/>
              <w:widowControl/>
              <w:suppressAutoHyphens w:val="true"/>
              <w:spacing w:before="0" w:after="0"/>
              <w:jc w:val="both"/>
              <w:rPr>
                <w:rFonts w:ascii="Arial" w:hAnsi="Arial" w:eastAsia="Times New Roman" w:cs="Arial"/>
                <w:sz w:val="20"/>
                <w:szCs w:val="20"/>
              </w:rPr>
            </w:pPr>
            <w:r>
              <w:rPr>
                <w:rFonts w:eastAsia="Calibri" w:ascii="Arial" w:hAnsi="Arial"/>
                <w:b/>
                <w:bCs/>
                <w:kern w:val="0"/>
                <w:sz w:val="20"/>
                <w:szCs w:val="20"/>
                <w:lang w:val="en-US" w:eastAsia="en-US" w:bidi="ar-SA"/>
              </w:rPr>
              <w:t xml:space="preserve">Aprašas: </w:t>
            </w:r>
            <w:r>
              <w:rPr>
                <w:rFonts w:eastAsia="Calibri" w:cs="Arial" w:ascii="Arial" w:hAnsi="Arial"/>
                <w:kern w:val="0"/>
                <w:sz w:val="20"/>
                <w:szCs w:val="20"/>
                <w:lang w:val="en-US" w:eastAsia="en-US" w:bidi="ar-SA"/>
              </w:rPr>
              <w:t xml:space="preserve">Besisukanti karuselės su 5 sėdynėmis. Karusėlė pagaminta iš perdirbamo plastiko, pagaminto iš 33 % perdirbtų medžiagų. </w:t>
            </w:r>
            <w:r>
              <w:rPr>
                <w:rFonts w:eastAsia="Times New Roman" w:cs="Arial" w:ascii="Arial" w:hAnsi="Arial"/>
                <w:kern w:val="0"/>
                <w:sz w:val="20"/>
                <w:szCs w:val="20"/>
                <w:lang w:val="en-US" w:eastAsia="en-US" w:bidi="ar-SA"/>
              </w:rPr>
              <w:t xml:space="preserve">Pilka bazė pagaminta iš 100% perdirbamo polietileno. Bazė pagaminta iš vienalyčio lydinio su integruotomis metalinėmis srieginėmis įvorėmis ir vandens išleidimo anga. Kiekvienas dubuo-kėdutė tvirtinami atskirai į bazę. Bazės matmenys ø176,4x48,4h cm. Kėdutės pagamintos iš 100% perdirbamo polietileno. Kėdutės su vandens išleidimo anga. Kėdutės skersmuo ø54,7 cm. Aukštos apkrovos konstrukcijos guolių sistema su vienos eilės rutuliniais guoliais su guminiais sandarikliais. Visiškai uždara guolio konstrukcija yra sutepta ir nereikalaujanti priežiūros. Plienas yra karštai cinkuotas tiek viduje, tiek išorėje. Švino kiekis paviršiams yra mažesnis nei 90ppm. Švino kiekis bazinėje medžiagoje yra mažesnis nei 100 ppm. Stulpas pagamintas iš karštai cinkuoto plieno, ø101,6x2,5 mm. Karuselė pasvirus, viena pusė žemiau, kita pusė aukštesnė, tokia padėtis vaikams leidžia reguliuoti karuselės sukimosi greitį, pasilenkiant pirmyn arba atsilošiant atgal. Karuselė skirta tiek mažiems, tiek vyresniems vaikams. </w:t>
            </w:r>
            <w:r>
              <w:rPr>
                <w:rFonts w:eastAsia="Calibri" w:cs="Arial" w:ascii="Arial" w:hAnsi="Arial"/>
                <w:kern w:val="0"/>
                <w:sz w:val="20"/>
                <w:szCs w:val="20"/>
                <w:lang w:val="lt-LT" w:eastAsia="en-US" w:bidi="ar-SA"/>
              </w:rPr>
              <w:t>Gaminys pagamintas pagal ES naujausius gamtos tausojimo ir ekologijos standartus bei reikalavimus, šitam gaminiui pagaminti buvo perdirbta ir panaudota net 40,97% perdirbtų medžiagų kas padėjo išvengti didelio (CO</w:t>
            </w:r>
            <w:r>
              <w:rPr>
                <w:rFonts w:eastAsia="Calibri" w:cs="Cambria Math" w:ascii="Cambria Math" w:hAnsi="Cambria Math"/>
                <w:kern w:val="0"/>
                <w:sz w:val="20"/>
                <w:szCs w:val="20"/>
                <w:lang w:val="lt-LT" w:eastAsia="en-US" w:bidi="ar-SA"/>
              </w:rPr>
              <w:t>₂</w:t>
            </w:r>
            <w:r>
              <w:rPr>
                <w:rFonts w:eastAsia="Calibri" w:cs="Arial" w:ascii="Arial" w:hAnsi="Arial"/>
                <w:kern w:val="0"/>
                <w:sz w:val="20"/>
                <w:szCs w:val="20"/>
                <w:lang w:val="lt-LT" w:eastAsia="en-US" w:bidi="ar-SA"/>
              </w:rPr>
              <w:t>) išmetimo</w:t>
            </w:r>
            <w:r>
              <w:rPr>
                <w:rFonts w:eastAsia="Calibri" w:ascii="VAG Rounded Std;Arial;sans-seri" w:hAnsi="VAG Rounded Std;Arial;sans-seri"/>
                <w:kern w:val="0"/>
                <w:sz w:val="20"/>
                <w:szCs w:val="20"/>
                <w:lang w:val="lt-LT" w:eastAsia="en-US" w:bidi="ar-SA"/>
              </w:rPr>
              <w:t xml:space="preserve">. </w:t>
            </w:r>
            <w:r>
              <w:rPr>
                <w:rFonts w:eastAsia="Times New Roman" w:cs="Arial" w:ascii="Arial" w:hAnsi="Arial"/>
                <w:kern w:val="0"/>
                <w:sz w:val="20"/>
                <w:szCs w:val="20"/>
                <w:lang w:val="en-US" w:eastAsia="en-US" w:bidi="ar-SA"/>
              </w:rPr>
              <w:t xml:space="preserve">Garantijos: Guolių konstrukcijai – 5 metai, kitoms dalims - 10 metų. </w:t>
            </w:r>
            <w:r>
              <w:rPr>
                <w:rFonts w:eastAsia="Calibri" w:cs="Arial" w:ascii="Arial" w:hAnsi="Arial"/>
                <w:kern w:val="0"/>
                <w:sz w:val="20"/>
                <w:szCs w:val="20"/>
                <w:lang w:val="lt-LT" w:eastAsia="en-US" w:bidi="ar-SA"/>
              </w:rPr>
              <w:t>Gaminys turi turėti TUV sertifikatą pagal EN1176-1.</w:t>
            </w:r>
          </w:p>
        </w:tc>
      </w:tr>
      <w:tr>
        <w:trPr>
          <w:trHeight w:val="3693" w:hRule="atLeast"/>
          <w:cantSplit w:val="true"/>
        </w:trPr>
        <w:tc>
          <w:tcPr>
            <w:tcW w:w="1120" w:type="dxa"/>
            <w:tcBorders>
              <w:top w:val="nil"/>
            </w:tcBorders>
            <w:vAlign w:val="center"/>
          </w:tcPr>
          <w:p>
            <w:pPr>
              <w:pStyle w:val="Normal"/>
              <w:widowControl/>
              <w:suppressAutoHyphens w:val="true"/>
              <w:spacing w:before="0" w:after="0"/>
              <w:jc w:val="center"/>
              <w:rPr>
                <w:rFonts w:eastAsia="Calibri"/>
                <w:kern w:val="0"/>
                <w:lang w:val="en-US" w:eastAsia="en-US" w:bidi="ar-SA"/>
              </w:rPr>
            </w:pPr>
            <w:r>
              <w:rPr>
                <w:rFonts w:eastAsia="Calibri" w:ascii="Arial" w:hAnsi="Arial"/>
                <w:kern w:val="0"/>
                <w:sz w:val="20"/>
                <w:szCs w:val="20"/>
                <w:lang w:val="en-US" w:eastAsia="en-US" w:bidi="ar-SA"/>
              </w:rPr>
              <w:t>ŽA04</w:t>
            </w:r>
          </w:p>
        </w:tc>
        <w:tc>
          <w:tcPr>
            <w:tcW w:w="3595" w:type="dxa"/>
            <w:tcBorders>
              <w:top w:val="nil"/>
            </w:tcBorders>
            <w:vAlign w:val="center"/>
          </w:tcPr>
          <w:p>
            <w:pPr>
              <w:pStyle w:val="Normal"/>
              <w:widowControl/>
              <w:suppressAutoHyphens w:val="true"/>
              <w:spacing w:before="0" w:after="0"/>
              <w:jc w:val="left"/>
              <w:rPr>
                <w:rFonts w:ascii="Arial" w:hAnsi="Arial"/>
                <w:b/>
                <w:bCs/>
                <w:sz w:val="20"/>
                <w:szCs w:val="20"/>
              </w:rPr>
            </w:pPr>
            <w:r>
              <w:rPr/>
              <w:drawing>
                <wp:inline distT="0" distB="0" distL="0" distR="0">
                  <wp:extent cx="2149475" cy="1836420"/>
                  <wp:effectExtent l="0" t="0" r="0" b="0"/>
                  <wp:docPr id="59" name="Image2 Copy 6" descr="Foot Print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2 Copy 6" descr="Foot Print (image)"/>
                          <pic:cNvPicPr>
                            <a:picLocks noChangeAspect="1" noChangeArrowheads="1"/>
                          </pic:cNvPicPr>
                        </pic:nvPicPr>
                        <pic:blipFill>
                          <a:blip r:embed="rId61"/>
                          <a:stretch>
                            <a:fillRect/>
                          </a:stretch>
                        </pic:blipFill>
                        <pic:spPr bwMode="auto">
                          <a:xfrm>
                            <a:off x="0" y="0"/>
                            <a:ext cx="2149475" cy="1836420"/>
                          </a:xfrm>
                          <a:prstGeom prst="rect">
                            <a:avLst/>
                          </a:prstGeom>
                          <a:noFill/>
                        </pic:spPr>
                      </pic:pic>
                    </a:graphicData>
                  </a:graphic>
                </wp:inline>
              </w:drawing>
            </w:r>
          </w:p>
        </w:tc>
        <w:tc>
          <w:tcPr>
            <w:tcW w:w="5545" w:type="dxa"/>
            <w:tcBorders>
              <w:top w:val="nil"/>
            </w:tcBorders>
          </w:tcPr>
          <w:p>
            <w:pPr>
              <w:pStyle w:val="Normal"/>
              <w:widowControl/>
              <w:suppressAutoHyphens w:val="true"/>
              <w:spacing w:before="0" w:after="0"/>
              <w:jc w:val="left"/>
              <w:rPr>
                <w:rFonts w:eastAsia="Calibri"/>
                <w:kern w:val="0"/>
                <w:lang w:val="en-US" w:eastAsia="en-US" w:bidi="ar-SA"/>
              </w:rPr>
            </w:pPr>
            <w:r>
              <w:rPr>
                <w:rFonts w:eastAsia="Calibri" w:ascii="Arial" w:hAnsi="Arial"/>
                <w:b/>
                <w:bCs/>
                <w:kern w:val="0"/>
                <w:sz w:val="20"/>
                <w:szCs w:val="20"/>
                <w:lang w:val="en-US" w:eastAsia="en-US" w:bidi="ar-SA"/>
              </w:rPr>
              <w:t xml:space="preserve">Objektas: </w:t>
            </w:r>
            <w:r>
              <w:rPr>
                <w:rFonts w:eastAsia="Calibri" w:ascii="Arial" w:hAnsi="Arial"/>
                <w:kern w:val="0"/>
                <w:sz w:val="20"/>
                <w:szCs w:val="20"/>
                <w:lang w:val="en-US" w:eastAsia="en-US" w:bidi="ar-SA"/>
              </w:rPr>
              <w:t>Vaikų žaidimų įrenginys ŽA04</w:t>
            </w:r>
          </w:p>
          <w:p>
            <w:pPr>
              <w:pStyle w:val="Normal"/>
              <w:widowControl/>
              <w:suppressAutoHyphens w:val="true"/>
              <w:spacing w:before="0" w:after="0"/>
              <w:jc w:val="left"/>
              <w:rPr>
                <w:rFonts w:eastAsia="Calibri"/>
                <w:kern w:val="0"/>
                <w:lang w:val="en-US" w:eastAsia="en-US" w:bidi="ar-SA"/>
              </w:rPr>
            </w:pPr>
            <w:r>
              <w:rPr>
                <w:rFonts w:eastAsia="Calibri" w:ascii="Arial" w:hAnsi="Arial"/>
                <w:b/>
                <w:bCs/>
                <w:kern w:val="0"/>
                <w:sz w:val="20"/>
                <w:szCs w:val="20"/>
                <w:lang w:val="en-US" w:eastAsia="en-US" w:bidi="ar-SA"/>
              </w:rPr>
              <w:t xml:space="preserve">Matmenys: </w:t>
            </w:r>
            <w:r>
              <w:rPr>
                <w:rFonts w:eastAsia="Calibri" w:ascii="Arial" w:hAnsi="Arial"/>
                <w:kern w:val="0"/>
                <w:sz w:val="20"/>
                <w:szCs w:val="20"/>
                <w:lang w:val="en-US" w:eastAsia="en-US" w:bidi="ar-SA"/>
              </w:rPr>
              <w:t>180x180x3 cm</w:t>
            </w:r>
          </w:p>
          <w:p>
            <w:pPr>
              <w:pStyle w:val="Normal"/>
              <w:widowControl/>
              <w:suppressAutoHyphens w:val="true"/>
              <w:spacing w:before="0" w:after="0"/>
              <w:jc w:val="left"/>
              <w:rPr>
                <w:rFonts w:eastAsia="Calibri"/>
                <w:kern w:val="0"/>
                <w:lang w:val="en-US" w:eastAsia="en-US" w:bidi="ar-SA"/>
              </w:rPr>
            </w:pPr>
            <w:r>
              <w:rPr>
                <w:rFonts w:eastAsia="Calibri" w:ascii="Arial" w:hAnsi="Arial"/>
                <w:b/>
                <w:bCs/>
                <w:kern w:val="0"/>
                <w:sz w:val="20"/>
                <w:szCs w:val="20"/>
                <w:lang w:val="en-US" w:eastAsia="en-US" w:bidi="ar-SA"/>
              </w:rPr>
              <w:t xml:space="preserve">Amžiaus grupė: </w:t>
            </w:r>
            <w:r>
              <w:rPr>
                <w:rFonts w:eastAsia="Calibri" w:ascii="Arial" w:hAnsi="Arial"/>
                <w:kern w:val="0"/>
                <w:sz w:val="20"/>
                <w:szCs w:val="20"/>
                <w:lang w:val="en-US" w:eastAsia="en-US" w:bidi="ar-SA"/>
              </w:rPr>
              <w:t>4+</w:t>
            </w:r>
          </w:p>
          <w:p>
            <w:pPr>
              <w:pStyle w:val="Normal"/>
              <w:widowControl/>
              <w:suppressAutoHyphens w:val="true"/>
              <w:spacing w:before="0" w:after="0"/>
              <w:jc w:val="left"/>
              <w:rPr>
                <w:rFonts w:eastAsia="Calibri"/>
                <w:kern w:val="0"/>
                <w:lang w:val="en-US" w:eastAsia="en-US" w:bidi="ar-SA"/>
              </w:rPr>
            </w:pPr>
            <w:r>
              <w:rPr>
                <w:rFonts w:eastAsia="Calibri" w:ascii="Arial" w:hAnsi="Arial"/>
                <w:b/>
                <w:bCs/>
                <w:kern w:val="0"/>
                <w:sz w:val="20"/>
                <w:szCs w:val="20"/>
                <w:lang w:val="en-US" w:eastAsia="en-US" w:bidi="ar-SA"/>
              </w:rPr>
              <w:t>Maksimalus galimas kritimo aukštis:</w:t>
            </w:r>
            <w:r>
              <w:rPr>
                <w:rFonts w:eastAsia="Calibri" w:ascii="Arial" w:hAnsi="Arial"/>
                <w:kern w:val="0"/>
                <w:sz w:val="20"/>
                <w:szCs w:val="20"/>
                <w:lang w:val="en-US" w:eastAsia="en-US" w:bidi="ar-SA"/>
              </w:rPr>
              <w:t xml:space="preserve"> 100 cm</w:t>
            </w:r>
          </w:p>
          <w:p>
            <w:pPr>
              <w:pStyle w:val="Normal"/>
              <w:widowControl/>
              <w:suppressAutoHyphens w:val="true"/>
              <w:spacing w:before="0" w:after="0"/>
              <w:jc w:val="left"/>
              <w:rPr>
                <w:rFonts w:eastAsia="Calibri"/>
                <w:kern w:val="0"/>
                <w:lang w:val="en-US" w:eastAsia="en-US" w:bidi="ar-SA"/>
              </w:rPr>
            </w:pPr>
            <w:r>
              <w:rPr>
                <w:rFonts w:eastAsia="Calibri" w:ascii="Arial" w:hAnsi="Arial"/>
                <w:b/>
                <w:bCs/>
                <w:kern w:val="0"/>
                <w:sz w:val="20"/>
                <w:szCs w:val="20"/>
                <w:lang w:val="en-US" w:eastAsia="en-US" w:bidi="ar-SA"/>
              </w:rPr>
              <w:t>Saugumo zona:</w:t>
            </w:r>
            <w:r>
              <w:rPr>
                <w:rFonts w:eastAsia="Calibri" w:ascii="Arial" w:hAnsi="Arial"/>
                <w:kern w:val="0"/>
                <w:sz w:val="20"/>
                <w:szCs w:val="20"/>
                <w:lang w:val="en-US" w:eastAsia="en-US" w:bidi="ar-SA"/>
              </w:rPr>
              <w:t xml:space="preserve"> 13,4 m</w:t>
            </w:r>
            <w:r>
              <w:rPr>
                <w:rFonts w:eastAsia="Calibri" w:ascii="Arial" w:hAnsi="Arial"/>
                <w:kern w:val="0"/>
                <w:sz w:val="20"/>
                <w:szCs w:val="20"/>
                <w:vertAlign w:val="superscript"/>
                <w:lang w:val="en-US" w:eastAsia="en-US" w:bidi="ar-SA"/>
              </w:rPr>
              <w:t>2</w:t>
            </w:r>
          </w:p>
          <w:p>
            <w:pPr>
              <w:pStyle w:val="Normal"/>
              <w:widowControl/>
              <w:suppressAutoHyphens w:val="true"/>
              <w:spacing w:before="0" w:after="0"/>
              <w:jc w:val="both"/>
              <w:rPr>
                <w:rFonts w:eastAsia="Calibri"/>
                <w:kern w:val="0"/>
                <w:lang w:val="en-US" w:eastAsia="en-US" w:bidi="ar-SA"/>
              </w:rPr>
            </w:pPr>
            <w:r>
              <w:rPr>
                <w:rFonts w:eastAsia="Calibri" w:ascii="VAG Rounded Std;Arial;sans-seri" w:hAnsi="VAG Rounded Std;Arial;sans-seri"/>
                <w:b/>
                <w:bCs/>
                <w:kern w:val="0"/>
                <w:sz w:val="20"/>
                <w:szCs w:val="20"/>
                <w:lang w:val="en-US" w:eastAsia="en-US" w:bidi="ar-SA"/>
              </w:rPr>
              <w:t>Aprašas:</w:t>
            </w:r>
            <w:r>
              <w:rPr>
                <w:rFonts w:eastAsia="Calibri" w:ascii="VAG Rounded Std;Arial;sans-seri" w:hAnsi="VAG Rounded Std;Arial;sans-seri"/>
                <w:kern w:val="0"/>
                <w:sz w:val="20"/>
                <w:szCs w:val="20"/>
                <w:lang w:val="en-US" w:eastAsia="en-US" w:bidi="ar-SA"/>
              </w:rPr>
              <w:t xml:space="preserve">  </w:t>
            </w:r>
            <w:r>
              <w:rPr>
                <w:rFonts w:eastAsia="Calibri" w:cs="Arial" w:ascii="Arial" w:hAnsi="Arial"/>
                <w:kern w:val="0"/>
                <w:sz w:val="20"/>
                <w:szCs w:val="20"/>
                <w:lang w:val="lt-LT" w:eastAsia="en-US" w:bidi="ar-SA"/>
              </w:rPr>
              <w:t>Batuto membranos pagamintos iš nemažiau 6,0 mm storio EP etileno-propileno konvejerio juostos su poliesterio poliamido audinio sluoksniu. Spyruokliniai tvirtinimai iš abiejų pusių sutvirtinti plieninėmis įvorėmis ir poveržlėmis. Membrana yra atspari ozonui ir turi 8 centre esančias vandens nutekėjimo angas. Nemažiau kaip 36 vnt. spyruoklės kurios pagamintos iš nerūdijančiojo plieno, kad būtų ilgaamžės ir atsparios korozijai. Plieninė viela yra nemažiau 3,2 mm storio, o penkios paskutinės apvijos yra kūgio formos, kad būtų užtikrintas ilgas tarnavimo laikas. Apvado plytelės yra išlietos iš pilkos perdirbtų SBR gumos granulių. Kiekvienos guminės plytelės viduje yra 3 mm karštai cinkuoto plieno plokštelė. Visi plieniniai komponentai gaminami iš nemažiau 3 mm storio anglinio plieno S235. Šoninės plokštės, viršutinio rėmo atraminės sienelės, plokštės, sulenktos su SBR, ir plokščios plokštės, skirtos paviršių dengti vietoje, yra karštai cinkuotos. Unikali savybė - SBR plyteles galima nuimti ir valyti bei prižiūrėti. Atlaisvinus šešis varžtus, SBR plytelę galima pakelti, kad ji atsidarytų ir būtų galima pasiekti spyruokles. Gaminys pagamintas pagal ES naujausius gamtos tausojimo ir ekologijos standartus bei reikalavimus, šitam gaminiui pagaminti buvo perdirbta ir panaudota net 60,81% perdirbtų medžiagų kas padėjo išvengti didelio (CO</w:t>
            </w:r>
            <w:r>
              <w:rPr>
                <w:rFonts w:eastAsia="Calibri" w:cs="Cambria Math" w:ascii="Cambria Math" w:hAnsi="Cambria Math"/>
                <w:kern w:val="0"/>
                <w:sz w:val="20"/>
                <w:szCs w:val="20"/>
                <w:lang w:val="lt-LT" w:eastAsia="en-US" w:bidi="ar-SA"/>
              </w:rPr>
              <w:t>₂</w:t>
            </w:r>
            <w:r>
              <w:rPr>
                <w:rFonts w:eastAsia="Calibri" w:cs="Arial" w:ascii="Arial" w:hAnsi="Arial"/>
                <w:kern w:val="0"/>
                <w:sz w:val="20"/>
                <w:szCs w:val="20"/>
                <w:lang w:val="lt-LT" w:eastAsia="en-US" w:bidi="ar-SA"/>
              </w:rPr>
              <w:t>) išmetimo. Garantijos: cinkuotam plienui – amžina, spyruoklėms, membranai ir sbr gumos granulių plytelėms – 2 metai, atsarginėms dalims 10 metų.</w:t>
            </w:r>
          </w:p>
        </w:tc>
      </w:tr>
      <w:tr>
        <w:trPr>
          <w:trHeight w:val="3693" w:hRule="atLeast"/>
          <w:cantSplit w:val="true"/>
        </w:trPr>
        <w:tc>
          <w:tcPr>
            <w:tcW w:w="1120" w:type="dxa"/>
            <w:tcBorders>
              <w:top w:val="nil"/>
            </w:tcBorders>
            <w:vAlign w:val="center"/>
          </w:tcPr>
          <w:p>
            <w:pPr>
              <w:pStyle w:val="Normal"/>
              <w:widowControl/>
              <w:suppressAutoHyphens w:val="true"/>
              <w:spacing w:before="0" w:after="0"/>
              <w:jc w:val="center"/>
              <w:rPr>
                <w:rFonts w:eastAsia="Calibri"/>
                <w:kern w:val="0"/>
                <w:lang w:val="en-US" w:eastAsia="en-US" w:bidi="ar-SA"/>
              </w:rPr>
            </w:pPr>
            <w:r>
              <w:rPr>
                <w:rFonts w:eastAsia="Calibri" w:ascii="Arial" w:hAnsi="Arial"/>
                <w:kern w:val="0"/>
                <w:sz w:val="20"/>
                <w:szCs w:val="20"/>
                <w:lang w:val="en-US" w:eastAsia="en-US" w:bidi="ar-SA"/>
              </w:rPr>
              <w:t>ŽA05</w:t>
            </w:r>
          </w:p>
        </w:tc>
        <w:tc>
          <w:tcPr>
            <w:tcW w:w="3595" w:type="dxa"/>
            <w:tcBorders>
              <w:top w:val="nil"/>
            </w:tcBorders>
            <w:vAlign w:val="center"/>
          </w:tcPr>
          <w:p>
            <w:pPr>
              <w:pStyle w:val="Normal"/>
              <w:widowControl/>
              <w:suppressAutoHyphens w:val="true"/>
              <w:spacing w:before="0" w:after="0"/>
              <w:jc w:val="left"/>
              <w:rPr>
                <w:rFonts w:ascii="Arial" w:hAnsi="Arial"/>
                <w:b/>
                <w:bCs/>
                <w:sz w:val="20"/>
                <w:szCs w:val="20"/>
              </w:rPr>
            </w:pPr>
            <w:r>
              <w:rPr/>
              <w:drawing>
                <wp:inline distT="0" distB="0" distL="0" distR="0">
                  <wp:extent cx="2145665" cy="1764030"/>
                  <wp:effectExtent l="0" t="0" r="0" b="0"/>
                  <wp:docPr id="60" name="Paveikslėlis 20" descr="Foot Print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aveikslėlis 20" descr="Foot Print (image)"/>
                          <pic:cNvPicPr>
                            <a:picLocks noChangeAspect="1" noChangeArrowheads="1"/>
                          </pic:cNvPicPr>
                        </pic:nvPicPr>
                        <pic:blipFill>
                          <a:blip r:embed="rId62"/>
                          <a:stretch>
                            <a:fillRect/>
                          </a:stretch>
                        </pic:blipFill>
                        <pic:spPr bwMode="auto">
                          <a:xfrm>
                            <a:off x="0" y="0"/>
                            <a:ext cx="2145665" cy="1764030"/>
                          </a:xfrm>
                          <a:prstGeom prst="rect">
                            <a:avLst/>
                          </a:prstGeom>
                          <a:noFill/>
                        </pic:spPr>
                      </pic:pic>
                    </a:graphicData>
                  </a:graphic>
                </wp:inline>
              </w:drawing>
            </w:r>
          </w:p>
        </w:tc>
        <w:tc>
          <w:tcPr>
            <w:tcW w:w="5545" w:type="dxa"/>
            <w:tcBorders>
              <w:top w:val="nil"/>
            </w:tcBorders>
          </w:tcPr>
          <w:p>
            <w:pPr>
              <w:pStyle w:val="Normal"/>
              <w:widowControl/>
              <w:suppressAutoHyphens w:val="true"/>
              <w:spacing w:before="0" w:after="0"/>
              <w:jc w:val="left"/>
              <w:rPr>
                <w:rFonts w:eastAsia="Calibri"/>
                <w:kern w:val="0"/>
                <w:lang w:val="en-US" w:eastAsia="en-US" w:bidi="ar-SA"/>
              </w:rPr>
            </w:pPr>
            <w:r>
              <w:rPr>
                <w:rFonts w:eastAsia="Calibri" w:ascii="Arial" w:hAnsi="Arial"/>
                <w:b/>
                <w:bCs/>
                <w:kern w:val="0"/>
                <w:sz w:val="20"/>
                <w:szCs w:val="20"/>
                <w:lang w:val="en-US" w:eastAsia="en-US" w:bidi="ar-SA"/>
              </w:rPr>
              <w:t xml:space="preserve">Objektas: </w:t>
            </w:r>
            <w:r>
              <w:rPr>
                <w:rFonts w:eastAsia="Calibri" w:ascii="Arial" w:hAnsi="Arial"/>
                <w:kern w:val="0"/>
                <w:sz w:val="20"/>
                <w:szCs w:val="20"/>
                <w:lang w:val="en-US" w:eastAsia="en-US" w:bidi="ar-SA"/>
              </w:rPr>
              <w:t>Vaikų žaidimų įrenginys ŽA05</w:t>
            </w:r>
          </w:p>
          <w:p>
            <w:pPr>
              <w:pStyle w:val="Normal"/>
              <w:widowControl/>
              <w:suppressAutoHyphens w:val="true"/>
              <w:spacing w:before="0" w:after="0"/>
              <w:jc w:val="left"/>
              <w:rPr>
                <w:rFonts w:eastAsia="Calibri"/>
                <w:kern w:val="0"/>
                <w:lang w:val="en-US" w:eastAsia="en-US" w:bidi="ar-SA"/>
              </w:rPr>
            </w:pPr>
            <w:r>
              <w:rPr>
                <w:rFonts w:eastAsia="Calibri" w:ascii="Arial" w:hAnsi="Arial"/>
                <w:b/>
                <w:bCs/>
                <w:kern w:val="0"/>
                <w:sz w:val="20"/>
                <w:szCs w:val="20"/>
                <w:lang w:val="en-US" w:eastAsia="en-US" w:bidi="ar-SA"/>
              </w:rPr>
              <w:t xml:space="preserve">Matmenys: </w:t>
            </w:r>
            <w:r>
              <w:rPr>
                <w:rFonts w:eastAsia="Calibri" w:ascii="Arial" w:hAnsi="Arial"/>
                <w:kern w:val="0"/>
                <w:sz w:val="20"/>
                <w:szCs w:val="20"/>
                <w:lang w:val="en-US" w:eastAsia="en-US" w:bidi="ar-SA"/>
              </w:rPr>
              <w:t>120x120x122 cm</w:t>
            </w:r>
          </w:p>
          <w:p>
            <w:pPr>
              <w:pStyle w:val="Normal"/>
              <w:widowControl/>
              <w:suppressAutoHyphens w:val="true"/>
              <w:spacing w:before="0" w:after="0"/>
              <w:jc w:val="left"/>
              <w:rPr>
                <w:rFonts w:eastAsia="Calibri"/>
                <w:kern w:val="0"/>
                <w:lang w:val="en-US" w:eastAsia="en-US" w:bidi="ar-SA"/>
              </w:rPr>
            </w:pPr>
            <w:r>
              <w:rPr>
                <w:rFonts w:eastAsia="Calibri" w:ascii="Arial" w:hAnsi="Arial"/>
                <w:b/>
                <w:bCs/>
                <w:kern w:val="0"/>
                <w:sz w:val="20"/>
                <w:szCs w:val="20"/>
                <w:lang w:val="en-US" w:eastAsia="en-US" w:bidi="ar-SA"/>
              </w:rPr>
              <w:t xml:space="preserve">Amžiaus grupė: </w:t>
            </w:r>
            <w:r>
              <w:rPr>
                <w:rFonts w:eastAsia="Calibri" w:ascii="Arial" w:hAnsi="Arial"/>
                <w:kern w:val="0"/>
                <w:sz w:val="20"/>
                <w:szCs w:val="20"/>
                <w:lang w:val="en-US" w:eastAsia="en-US" w:bidi="ar-SA"/>
              </w:rPr>
              <w:t>4+</w:t>
            </w:r>
          </w:p>
          <w:p>
            <w:pPr>
              <w:pStyle w:val="Normal"/>
              <w:widowControl/>
              <w:suppressAutoHyphens w:val="true"/>
              <w:spacing w:before="0" w:after="0"/>
              <w:jc w:val="left"/>
              <w:rPr>
                <w:rFonts w:eastAsia="Calibri"/>
                <w:kern w:val="0"/>
                <w:lang w:val="en-US" w:eastAsia="en-US" w:bidi="ar-SA"/>
              </w:rPr>
            </w:pPr>
            <w:r>
              <w:rPr>
                <w:rFonts w:eastAsia="Calibri" w:ascii="Arial" w:hAnsi="Arial"/>
                <w:b/>
                <w:bCs/>
                <w:kern w:val="0"/>
                <w:sz w:val="20"/>
                <w:szCs w:val="20"/>
                <w:lang w:val="en-US" w:eastAsia="en-US" w:bidi="ar-SA"/>
              </w:rPr>
              <w:t xml:space="preserve">Maksimalus galimas kritimo aukštis: </w:t>
            </w:r>
            <w:r>
              <w:rPr>
                <w:rFonts w:eastAsia="Calibri" w:ascii="Arial" w:hAnsi="Arial"/>
                <w:kern w:val="0"/>
                <w:sz w:val="20"/>
                <w:szCs w:val="20"/>
                <w:lang w:val="en-US" w:eastAsia="en-US" w:bidi="ar-SA"/>
              </w:rPr>
              <w:t>100 cm</w:t>
            </w:r>
          </w:p>
          <w:p>
            <w:pPr>
              <w:pStyle w:val="Normal"/>
              <w:widowControl/>
              <w:suppressAutoHyphens w:val="true"/>
              <w:spacing w:before="0" w:after="0"/>
              <w:jc w:val="left"/>
              <w:rPr>
                <w:rFonts w:eastAsia="Calibri"/>
                <w:kern w:val="0"/>
                <w:lang w:val="en-US" w:eastAsia="en-US" w:bidi="ar-SA"/>
              </w:rPr>
            </w:pPr>
            <w:r>
              <w:rPr>
                <w:rFonts w:eastAsia="Calibri" w:ascii="Arial" w:hAnsi="Arial"/>
                <w:b/>
                <w:bCs/>
                <w:kern w:val="0"/>
                <w:sz w:val="20"/>
                <w:szCs w:val="20"/>
                <w:lang w:val="en-US" w:eastAsia="en-US" w:bidi="ar-SA"/>
              </w:rPr>
              <w:t xml:space="preserve">Saugumo zona: </w:t>
            </w:r>
            <w:r>
              <w:rPr>
                <w:rFonts w:eastAsia="Calibri" w:ascii="Arial" w:hAnsi="Arial"/>
                <w:kern w:val="0"/>
                <w:sz w:val="20"/>
                <w:szCs w:val="20"/>
                <w:lang w:val="en-US" w:eastAsia="en-US" w:bidi="ar-SA"/>
              </w:rPr>
              <w:t>21,3 m</w:t>
            </w:r>
            <w:r>
              <w:rPr>
                <w:rFonts w:eastAsia="Calibri" w:ascii="Arial" w:hAnsi="Arial"/>
                <w:kern w:val="0"/>
                <w:sz w:val="20"/>
                <w:szCs w:val="20"/>
                <w:vertAlign w:val="superscript"/>
                <w:lang w:val="en-US" w:eastAsia="en-US" w:bidi="ar-SA"/>
              </w:rPr>
              <w:t>2</w:t>
            </w:r>
          </w:p>
          <w:p>
            <w:pPr>
              <w:pStyle w:val="Normal"/>
              <w:widowControl/>
              <w:suppressAutoHyphens w:val="true"/>
              <w:spacing w:before="0" w:after="200"/>
              <w:jc w:val="both"/>
              <w:rPr>
                <w:rFonts w:ascii="Arial" w:hAnsi="Arial" w:eastAsia="Times New Roman" w:cs="Arial"/>
                <w:sz w:val="20"/>
                <w:szCs w:val="20"/>
              </w:rPr>
            </w:pPr>
            <w:r>
              <w:rPr>
                <w:rFonts w:eastAsia="Calibri" w:ascii="VAG Rounded Std;Arial;sans-seri" w:hAnsi="VAG Rounded Std;Arial;sans-seri"/>
                <w:b/>
                <w:bCs/>
                <w:kern w:val="0"/>
                <w:sz w:val="20"/>
                <w:szCs w:val="20"/>
                <w:lang w:val="en-US" w:eastAsia="en-US" w:bidi="ar-SA"/>
              </w:rPr>
              <w:t xml:space="preserve">Aprašas:  </w:t>
            </w:r>
            <w:r>
              <w:rPr>
                <w:rFonts w:eastAsia="Times New Roman" w:cs="Arial" w:ascii="Arial" w:hAnsi="Arial"/>
                <w:kern w:val="0"/>
                <w:sz w:val="20"/>
                <w:szCs w:val="20"/>
                <w:lang w:val="en-US" w:eastAsia="en-US" w:bidi="ar-SA"/>
              </w:rPr>
              <w:t xml:space="preserve">Dubuo pagamintas iš polietileno dalių, kurias sudaro 33 % perdirbtų po vartojimo susidariusių vandenyno atliekų. Vandenyno atliekos surenkamos iš jūrų pramonės, pavyzdžiui, žvejybos tinklų, virvių ir tralų. </w:t>
            </w:r>
            <w:r>
              <w:rPr>
                <w:rFonts w:eastAsia="Calibri" w:cs="Arial" w:ascii="Arial" w:hAnsi="Arial"/>
                <w:kern w:val="0"/>
                <w:sz w:val="20"/>
                <w:szCs w:val="20"/>
                <w:lang w:val="en-US" w:eastAsia="en-US" w:bidi="ar-SA"/>
              </w:rPr>
              <w:t>Dubuo, pasviręs 5° kampu.</w:t>
            </w:r>
            <w:r>
              <w:rPr>
                <w:rFonts w:eastAsia="Times New Roman" w:cs="Arial" w:ascii="Arial" w:hAnsi="Arial"/>
                <w:kern w:val="0"/>
                <w:sz w:val="20"/>
                <w:szCs w:val="20"/>
                <w:lang w:val="en-US" w:eastAsia="en-US" w:bidi="ar-SA"/>
              </w:rPr>
              <w:t xml:space="preserve"> Dubens aukštis nemažiau 38,4 cm., skermsuo nemažiau ø120 cm. Rankenų aukštis nemažiau 67 cm., skermuo viršuje nemažiau 51,2 cm., skersmuo apačioje nemažiau 90,8 cm. Plienas – karštai cinkuotas pagal ISO1461. Vaikai galit suktis stovėdami, gulėdami ir sėdėdami. </w:t>
            </w:r>
            <w:r>
              <w:rPr>
                <w:rFonts w:eastAsia="Calibri" w:cs="Arial" w:ascii="Arial" w:hAnsi="Arial"/>
                <w:kern w:val="0"/>
                <w:sz w:val="20"/>
                <w:szCs w:val="20"/>
                <w:lang w:val="en-US" w:eastAsia="en-US" w:bidi="ar-SA"/>
              </w:rPr>
              <w:t>Dubuo suformuotas iš vieno gabalo su integruotomis metalinėmis srieginėmis įvorėmis ir vandens nutekėjimo anga, kurioje vanduo nuteka automatiškai, todėl karuselė visada sausa ir paruošta naudoti. Vandens nutekėjimą dengia nerūdijančio plieno sietelis. Didelio apkrovimo guolių sistema su vienos eilės gilių griovelių rutuliniais guoliais ir guminiais sandarikliais. Visiškai uždara guolių konstrukcija, nereikalaujanti priežiūros. Viršutinė atrama pagaminta iš suvirinto plieno. Plienas iš vidaus ir išorės karštai cinkuotas cinku be švino, o išorė padengta milteliniu būdu. Gaminys pagamintas pagal ES naujausius gamtos tausojimo ir ekologijos standartus bei reikalavimus, šitam gaminiui pagaminti buvo perdirbta ir panaudota net 42,64% perdirbtų medžiagų kas padėjo išvengti didelio (CO</w:t>
            </w:r>
            <w:r>
              <w:rPr>
                <w:rFonts w:eastAsia="Calibri" w:cs="Cambria Math" w:ascii="Cambria Math" w:hAnsi="Cambria Math"/>
                <w:kern w:val="0"/>
                <w:sz w:val="20"/>
                <w:szCs w:val="20"/>
                <w:lang w:val="en-US" w:eastAsia="en-US" w:bidi="ar-SA"/>
              </w:rPr>
              <w:t>₂</w:t>
            </w:r>
            <w:r>
              <w:rPr>
                <w:rFonts w:eastAsia="Calibri" w:cs="Arial" w:ascii="Arial" w:hAnsi="Arial"/>
                <w:kern w:val="0"/>
                <w:sz w:val="20"/>
                <w:szCs w:val="20"/>
                <w:lang w:val="en-US" w:eastAsia="en-US" w:bidi="ar-SA"/>
              </w:rPr>
              <w:t>) išmetimo. Gaminio garantijos: karštai cinkuotas plienas- amžina; tuščiavidurės PE dalys - 10 metų; guolių sistema - 5 metai; atsarginėms dalims - 10 metų. Gaminys turi TUV sertifikatą pagal EN1176-1 ir EN1176-5. Gaminiu saugiai gali naudotis įvairių negalių turintys asmenys.</w:t>
            </w:r>
          </w:p>
        </w:tc>
      </w:tr>
      <w:tr>
        <w:trPr>
          <w:trHeight w:val="3693" w:hRule="atLeast"/>
          <w:cantSplit w:val="true"/>
        </w:trPr>
        <w:tc>
          <w:tcPr>
            <w:tcW w:w="1120" w:type="dxa"/>
            <w:tcBorders>
              <w:top w:val="nil"/>
            </w:tcBorders>
            <w:vAlign w:val="center"/>
          </w:tcPr>
          <w:p>
            <w:pPr>
              <w:pStyle w:val="Normal"/>
              <w:widowControl/>
              <w:suppressAutoHyphens w:val="true"/>
              <w:spacing w:before="0" w:after="0"/>
              <w:jc w:val="center"/>
              <w:rPr>
                <w:rFonts w:eastAsia="Calibri"/>
                <w:kern w:val="0"/>
                <w:lang w:val="en-US" w:eastAsia="en-US" w:bidi="ar-SA"/>
              </w:rPr>
            </w:pPr>
            <w:r>
              <w:rPr>
                <w:rFonts w:eastAsia="Calibri" w:ascii="Arial" w:hAnsi="Arial"/>
                <w:kern w:val="0"/>
                <w:sz w:val="20"/>
                <w:szCs w:val="20"/>
                <w:lang w:val="en-US" w:eastAsia="en-US" w:bidi="ar-SA"/>
              </w:rPr>
              <w:t>ŽA06</w:t>
            </w:r>
          </w:p>
        </w:tc>
        <w:tc>
          <w:tcPr>
            <w:tcW w:w="3595" w:type="dxa"/>
            <w:tcBorders>
              <w:top w:val="nil"/>
            </w:tcBorders>
            <w:vAlign w:val="center"/>
          </w:tcPr>
          <w:p>
            <w:pPr>
              <w:pStyle w:val="Normal"/>
              <w:widowControl/>
              <w:suppressAutoHyphens w:val="true"/>
              <w:spacing w:before="0" w:after="0"/>
              <w:jc w:val="left"/>
              <w:rPr>
                <w:rFonts w:ascii="Arial" w:hAnsi="Arial"/>
                <w:b/>
                <w:bCs/>
                <w:sz w:val="20"/>
                <w:szCs w:val="20"/>
              </w:rPr>
            </w:pPr>
            <w:r>
              <w:rPr>
                <w:rFonts w:ascii="Arial" w:hAnsi="Arial"/>
                <w:b/>
                <w:bCs/>
                <w:sz w:val="20"/>
                <w:szCs w:val="20"/>
              </w:rPr>
              <w:drawing>
                <wp:anchor behindDoc="0" distT="0" distB="0" distL="0" distR="0" simplePos="0" locked="0" layoutInCell="1" allowOverlap="1" relativeHeight="204">
                  <wp:simplePos x="0" y="0"/>
                  <wp:positionH relativeFrom="column">
                    <wp:posOffset>0</wp:posOffset>
                  </wp:positionH>
                  <wp:positionV relativeFrom="paragraph">
                    <wp:posOffset>933450</wp:posOffset>
                  </wp:positionV>
                  <wp:extent cx="2150110" cy="1592580"/>
                  <wp:effectExtent l="0" t="0" r="0" b="0"/>
                  <wp:wrapSquare wrapText="largest"/>
                  <wp:docPr id="61" name="Image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28"/>
                          <pic:cNvPicPr>
                            <a:picLocks noChangeAspect="1" noChangeArrowheads="1"/>
                          </pic:cNvPicPr>
                        </pic:nvPicPr>
                        <pic:blipFill>
                          <a:blip r:embed="rId63"/>
                          <a:stretch>
                            <a:fillRect/>
                          </a:stretch>
                        </pic:blipFill>
                        <pic:spPr bwMode="auto">
                          <a:xfrm>
                            <a:off x="0" y="0"/>
                            <a:ext cx="2150110" cy="1592580"/>
                          </a:xfrm>
                          <a:prstGeom prst="rect">
                            <a:avLst/>
                          </a:prstGeom>
                          <a:noFill/>
                        </pic:spPr>
                      </pic:pic>
                    </a:graphicData>
                  </a:graphic>
                </wp:anchor>
              </w:drawing>
            </w:r>
          </w:p>
          <w:p>
            <w:pPr>
              <w:pStyle w:val="Normal"/>
              <w:widowControl/>
              <w:suppressAutoHyphens w:val="true"/>
              <w:spacing w:before="0" w:after="200"/>
              <w:jc w:val="left"/>
              <w:rPr>
                <w:rFonts w:ascii="Arial" w:hAnsi="Arial"/>
                <w:sz w:val="20"/>
                <w:szCs w:val="20"/>
              </w:rPr>
            </w:pPr>
            <w:r>
              <w:rPr>
                <w:rFonts w:ascii="Arial" w:hAnsi="Arial"/>
                <w:sz w:val="20"/>
                <w:szCs w:val="20"/>
              </w:rPr>
            </w:r>
          </w:p>
          <w:p>
            <w:pPr>
              <w:pStyle w:val="Normal"/>
              <w:widowControl/>
              <w:suppressAutoHyphens w:val="true"/>
              <w:spacing w:before="0" w:after="200"/>
              <w:jc w:val="left"/>
              <w:rPr>
                <w:rFonts w:ascii="Arial" w:hAnsi="Arial"/>
                <w:sz w:val="20"/>
                <w:szCs w:val="20"/>
              </w:rPr>
            </w:pPr>
            <w:r>
              <w:rPr>
                <w:rFonts w:ascii="Arial" w:hAnsi="Arial"/>
                <w:sz w:val="20"/>
                <w:szCs w:val="20"/>
              </w:rPr>
            </w:r>
          </w:p>
          <w:p>
            <w:pPr>
              <w:pStyle w:val="Normal"/>
              <w:widowControl/>
              <w:suppressAutoHyphens w:val="true"/>
              <w:spacing w:before="0" w:after="200"/>
              <w:jc w:val="left"/>
              <w:rPr>
                <w:rFonts w:ascii="Arial" w:hAnsi="Arial"/>
                <w:sz w:val="20"/>
                <w:szCs w:val="20"/>
              </w:rPr>
            </w:pPr>
            <w:r>
              <w:rPr>
                <w:rFonts w:ascii="Arial" w:hAnsi="Arial"/>
                <w:sz w:val="20"/>
                <w:szCs w:val="20"/>
              </w:rPr>
            </w:r>
          </w:p>
          <w:p>
            <w:pPr>
              <w:pStyle w:val="Normal"/>
              <w:widowControl/>
              <w:suppressAutoHyphens w:val="true"/>
              <w:spacing w:before="0" w:after="200"/>
              <w:jc w:val="left"/>
              <w:rPr>
                <w:rFonts w:ascii="Arial" w:hAnsi="Arial"/>
                <w:sz w:val="20"/>
                <w:szCs w:val="20"/>
              </w:rPr>
            </w:pPr>
            <w:r>
              <w:rPr/>
              <w:drawing>
                <wp:inline distT="0" distB="0" distL="0" distR="0">
                  <wp:extent cx="2145665" cy="2722880"/>
                  <wp:effectExtent l="0" t="0" r="0" b="0"/>
                  <wp:docPr id="62" name="Paveikslėlis 18" descr="Foot Print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aveikslėlis 18" descr="Foot Print (image)"/>
                          <pic:cNvPicPr>
                            <a:picLocks noChangeAspect="1" noChangeArrowheads="1"/>
                          </pic:cNvPicPr>
                        </pic:nvPicPr>
                        <pic:blipFill>
                          <a:blip r:embed="rId64"/>
                          <a:stretch>
                            <a:fillRect/>
                          </a:stretch>
                        </pic:blipFill>
                        <pic:spPr bwMode="auto">
                          <a:xfrm>
                            <a:off x="0" y="0"/>
                            <a:ext cx="2145665" cy="2722880"/>
                          </a:xfrm>
                          <a:prstGeom prst="rect">
                            <a:avLst/>
                          </a:prstGeom>
                          <a:noFill/>
                        </pic:spPr>
                      </pic:pic>
                    </a:graphicData>
                  </a:graphic>
                </wp:inline>
              </w:drawing>
            </w:r>
          </w:p>
          <w:p>
            <w:pPr>
              <w:pStyle w:val="Normal"/>
              <w:widowControl/>
              <w:suppressAutoHyphens w:val="true"/>
              <w:spacing w:before="0" w:after="200"/>
              <w:jc w:val="left"/>
              <w:rPr>
                <w:rFonts w:ascii="Arial" w:hAnsi="Arial"/>
                <w:sz w:val="20"/>
                <w:szCs w:val="20"/>
              </w:rPr>
            </w:pPr>
            <w:r>
              <w:rPr>
                <w:rFonts w:ascii="Arial" w:hAnsi="Arial"/>
                <w:sz w:val="20"/>
                <w:szCs w:val="20"/>
              </w:rPr>
            </w:r>
          </w:p>
          <w:p>
            <w:pPr>
              <w:pStyle w:val="Normal"/>
              <w:widowControl/>
              <w:suppressAutoHyphens w:val="true"/>
              <w:spacing w:before="0" w:after="200"/>
              <w:jc w:val="left"/>
              <w:rPr>
                <w:rFonts w:ascii="Arial" w:hAnsi="Arial"/>
                <w:sz w:val="20"/>
                <w:szCs w:val="20"/>
              </w:rPr>
            </w:pPr>
            <w:r>
              <w:rPr>
                <w:rFonts w:ascii="Arial" w:hAnsi="Arial"/>
                <w:sz w:val="20"/>
                <w:szCs w:val="20"/>
              </w:rPr>
            </w:r>
          </w:p>
        </w:tc>
        <w:tc>
          <w:tcPr>
            <w:tcW w:w="5545" w:type="dxa"/>
            <w:tcBorders>
              <w:top w:val="nil"/>
            </w:tcBorders>
          </w:tcPr>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Objektas: </w:t>
            </w:r>
            <w:r>
              <w:rPr>
                <w:rFonts w:eastAsia="Calibri" w:ascii="Arial" w:hAnsi="Arial"/>
                <w:kern w:val="0"/>
                <w:sz w:val="20"/>
                <w:szCs w:val="20"/>
                <w:lang w:val="en-US" w:eastAsia="en-US" w:bidi="ar-SA"/>
              </w:rPr>
              <w:t>Vaikų žaidimų įrenginys ŽA06</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Matmenys:  </w:t>
            </w:r>
            <w:r>
              <w:rPr>
                <w:rFonts w:eastAsia="Calibri" w:ascii="Arial" w:hAnsi="Arial"/>
                <w:kern w:val="0"/>
                <w:sz w:val="20"/>
                <w:szCs w:val="20"/>
                <w:lang w:val="en-US" w:eastAsia="en-US" w:bidi="ar-SA"/>
              </w:rPr>
              <w:t>330x200x224 cm</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Amžiaus grupė: </w:t>
            </w:r>
            <w:r>
              <w:rPr>
                <w:rFonts w:eastAsia="Calibri" w:ascii="Arial" w:hAnsi="Arial"/>
                <w:kern w:val="0"/>
                <w:sz w:val="20"/>
                <w:szCs w:val="20"/>
                <w:lang w:val="en-US" w:eastAsia="en-US" w:bidi="ar-SA"/>
              </w:rPr>
              <w:t>2+</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Maksimalus galimas kritimo aukštis: </w:t>
            </w:r>
            <w:r>
              <w:rPr>
                <w:rFonts w:eastAsia="Calibri" w:ascii="Arial" w:hAnsi="Arial"/>
                <w:kern w:val="0"/>
                <w:sz w:val="20"/>
                <w:szCs w:val="20"/>
                <w:lang w:val="en-US" w:eastAsia="en-US" w:bidi="ar-SA"/>
              </w:rPr>
              <w:t>120 cm</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Saugumo zona: </w:t>
            </w:r>
            <w:r>
              <w:rPr>
                <w:rFonts w:eastAsia="Calibri" w:ascii="Arial" w:hAnsi="Arial"/>
                <w:kern w:val="0"/>
                <w:sz w:val="20"/>
                <w:szCs w:val="20"/>
                <w:lang w:val="en-US" w:eastAsia="en-US" w:bidi="ar-SA"/>
              </w:rPr>
              <w:t>20,8 m</w:t>
            </w:r>
            <w:r>
              <w:rPr>
                <w:rFonts w:eastAsia="Calibri" w:ascii="Arial" w:hAnsi="Arial"/>
                <w:kern w:val="0"/>
                <w:sz w:val="20"/>
                <w:szCs w:val="20"/>
                <w:vertAlign w:val="superscript"/>
                <w:lang w:val="en-US" w:eastAsia="en-US" w:bidi="ar-SA"/>
              </w:rPr>
              <w:t>2</w:t>
            </w:r>
          </w:p>
          <w:p>
            <w:pPr>
              <w:pStyle w:val="Normal"/>
              <w:widowControl/>
              <w:suppressAutoHyphens w:val="true"/>
              <w:spacing w:before="0" w:after="0"/>
              <w:jc w:val="both"/>
              <w:rPr>
                <w:rFonts w:eastAsia="Calibri"/>
                <w:kern w:val="0"/>
                <w:lang w:val="en-US" w:eastAsia="en-US" w:bidi="ar-SA"/>
              </w:rPr>
            </w:pPr>
            <w:r>
              <w:rPr>
                <w:rFonts w:eastAsia="Calibri" w:ascii="VAG Rounded Std;Arial;sans-seri" w:hAnsi="VAG Rounded Std;Arial;sans-seri"/>
                <w:b/>
                <w:bCs/>
                <w:kern w:val="0"/>
                <w:sz w:val="20"/>
                <w:szCs w:val="20"/>
                <w:lang w:val="en-US" w:eastAsia="en-US" w:bidi="ar-SA"/>
              </w:rPr>
              <w:t xml:space="preserve">Aprašas: </w:t>
            </w:r>
            <w:r>
              <w:rPr>
                <w:rFonts w:eastAsia="Calibri" w:cs="Arial" w:ascii="Arial" w:hAnsi="Arial"/>
                <w:kern w:val="0"/>
                <w:sz w:val="20"/>
                <w:szCs w:val="20"/>
                <w:lang w:val="en-US" w:eastAsia="en-US" w:bidi="ar-SA"/>
              </w:rPr>
              <w:t>Supynė su dviem viengubomis kedutėmis. Sūpynės sudarytos iš dviejų kampinių A formos atramų ir skersinio. Atramos pagamintos iš vidaus ir iš išorės karštai cinkuoto, nemažiau 76,1mm skersmens, 3mm storio plieno. Skersinis iš nemažiau 101,6mm skersmens, 2,9mm storio karštai cinkuoto plieno. Pakabos pagamintos iš aukštos kokybės UV spindulius stabilizuojančio poliamido (PA6) korpuso su įmontuotais ilgaamžiais sandariais rutuliniais guoliais. Reguliuojamo aukščio grandinės tvirtinamos nerūdijančiojo plieno kabliu su vagystėms atspariu gyvatės akių formos varžtu, esančiu pasukamame korpuse, apsaugotame nuo sukimosi</w:t>
            </w:r>
            <w:r>
              <w:rPr>
                <w:rFonts w:eastAsia="Calibri" w:cs="Arial" w:ascii="Arial" w:hAnsi="Arial"/>
                <w:b/>
                <w:bCs/>
                <w:kern w:val="0"/>
                <w:sz w:val="20"/>
                <w:szCs w:val="20"/>
                <w:lang w:val="en-US" w:eastAsia="en-US" w:bidi="ar-SA"/>
              </w:rPr>
              <w:t xml:space="preserve">. </w:t>
            </w:r>
            <w:r>
              <w:rPr>
                <w:rFonts w:eastAsia="Calibri" w:cs="Arial" w:ascii="Arial" w:hAnsi="Arial"/>
                <w:kern w:val="0"/>
                <w:sz w:val="20"/>
                <w:szCs w:val="20"/>
                <w:lang w:val="en-US" w:eastAsia="en-US" w:bidi="ar-SA"/>
              </w:rPr>
              <w:t>Viršutinė grandinė ir apsauginė grandinė pagamintos iš karštai cinkuoto plieno. Virvės pagamintos iš UV spindulių stabilizuoto PA su vidiniu plieninio troso sutvirtinimu. Grandinės pagamintos iš karštai cinkuoto plieno. Tradicinė sėdynė pagaminta iš polipropileno vidinės šerdies ir išorinės gumos. Komplektuojama su karštai cinkuoto plieno grandinėmis. Gaminys pagamintas pagal ES naujausius gamtos tausojimo ir ekologijos standartus bei reikalavimus, šitam gaminiui pagaminti buvo perdirbta ir panaudota net 83,57% perdirbtų medžiagų kas padėjo išvengti didelio (CO</w:t>
            </w:r>
            <w:r>
              <w:rPr>
                <w:rFonts w:eastAsia="Calibri" w:cs="Cambria Math" w:ascii="Cambria Math" w:hAnsi="Cambria Math"/>
                <w:kern w:val="0"/>
                <w:sz w:val="20"/>
                <w:szCs w:val="20"/>
                <w:lang w:val="en-US" w:eastAsia="en-US" w:bidi="ar-SA"/>
              </w:rPr>
              <w:t>₂</w:t>
            </w:r>
            <w:r>
              <w:rPr>
                <w:rFonts w:eastAsia="Calibri" w:cs="Arial" w:ascii="Arial" w:hAnsi="Arial"/>
                <w:kern w:val="0"/>
                <w:sz w:val="20"/>
                <w:szCs w:val="20"/>
                <w:lang w:val="en-US" w:eastAsia="en-US" w:bidi="ar-SA"/>
              </w:rPr>
              <w:t>) išmetimo. Garantijos: karštai cinkuotas plienas - amžina; pakabos – 5 metai; grandinės, atsrginės dalys, kėdutės - 10 metų, . Gaminys turi TUV sertifikatą pagal EN1176-1.</w:t>
            </w:r>
          </w:p>
        </w:tc>
      </w:tr>
      <w:tr>
        <w:trPr>
          <w:trHeight w:val="3693" w:hRule="atLeast"/>
          <w:cantSplit w:val="true"/>
        </w:trPr>
        <w:tc>
          <w:tcPr>
            <w:tcW w:w="1120" w:type="dxa"/>
            <w:tcBorders>
              <w:top w:val="nil"/>
            </w:tcBorders>
            <w:vAlign w:val="center"/>
          </w:tcPr>
          <w:p>
            <w:pPr>
              <w:pStyle w:val="Normal"/>
              <w:widowControl/>
              <w:suppressAutoHyphens w:val="true"/>
              <w:spacing w:before="0" w:after="0"/>
              <w:jc w:val="center"/>
              <w:rPr>
                <w:rFonts w:eastAsia="Calibri"/>
                <w:kern w:val="0"/>
                <w:lang w:val="en-US" w:eastAsia="en-US" w:bidi="ar-SA"/>
              </w:rPr>
            </w:pPr>
            <w:r>
              <w:rPr>
                <w:rFonts w:eastAsia="Calibri" w:ascii="Arial" w:hAnsi="Arial"/>
                <w:kern w:val="0"/>
                <w:sz w:val="20"/>
                <w:szCs w:val="20"/>
                <w:lang w:val="en-US" w:eastAsia="en-US" w:bidi="ar-SA"/>
              </w:rPr>
              <w:t>ŽA07</w:t>
            </w:r>
          </w:p>
        </w:tc>
        <w:tc>
          <w:tcPr>
            <w:tcW w:w="3595" w:type="dxa"/>
            <w:tcBorders>
              <w:top w:val="nil"/>
            </w:tcBorders>
            <w:vAlign w:val="center"/>
          </w:tcPr>
          <w:p>
            <w:pPr>
              <w:pStyle w:val="Normal"/>
              <w:widowControl/>
              <w:suppressAutoHyphens w:val="true"/>
              <w:spacing w:before="0" w:after="0"/>
              <w:jc w:val="left"/>
              <w:rPr>
                <w:rFonts w:ascii="Arial" w:hAnsi="Arial"/>
                <w:b/>
                <w:bCs/>
                <w:sz w:val="20"/>
                <w:szCs w:val="20"/>
              </w:rPr>
            </w:pPr>
            <w:r>
              <w:rPr>
                <w:rFonts w:ascii="Arial" w:hAnsi="Arial"/>
                <w:b/>
                <w:bCs/>
                <w:sz w:val="20"/>
                <w:szCs w:val="20"/>
              </w:rPr>
              <w:drawing>
                <wp:anchor behindDoc="0" distT="0" distB="0" distL="0" distR="0" simplePos="0" locked="0" layoutInCell="1" allowOverlap="1" relativeHeight="205">
                  <wp:simplePos x="0" y="0"/>
                  <wp:positionH relativeFrom="column">
                    <wp:posOffset>664210</wp:posOffset>
                  </wp:positionH>
                  <wp:positionV relativeFrom="paragraph">
                    <wp:posOffset>528955</wp:posOffset>
                  </wp:positionV>
                  <wp:extent cx="2150110" cy="919480"/>
                  <wp:effectExtent l="0" t="0" r="0" b="0"/>
                  <wp:wrapSquare wrapText="largest"/>
                  <wp:docPr id="63" name="Image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29"/>
                          <pic:cNvPicPr>
                            <a:picLocks noChangeAspect="1" noChangeArrowheads="1"/>
                          </pic:cNvPicPr>
                        </pic:nvPicPr>
                        <pic:blipFill>
                          <a:blip r:embed="rId65"/>
                          <a:stretch>
                            <a:fillRect/>
                          </a:stretch>
                        </pic:blipFill>
                        <pic:spPr bwMode="auto">
                          <a:xfrm>
                            <a:off x="0" y="0"/>
                            <a:ext cx="2150110" cy="919480"/>
                          </a:xfrm>
                          <a:prstGeom prst="rect">
                            <a:avLst/>
                          </a:prstGeom>
                          <a:noFill/>
                        </pic:spPr>
                      </pic:pic>
                    </a:graphicData>
                  </a:graphic>
                </wp:anchor>
              </w:drawing>
            </w:r>
          </w:p>
          <w:p>
            <w:pPr>
              <w:pStyle w:val="Normal"/>
              <w:widowControl/>
              <w:suppressAutoHyphens w:val="true"/>
              <w:spacing w:before="0" w:after="200"/>
              <w:jc w:val="left"/>
              <w:rPr>
                <w:rFonts w:ascii="Arial" w:hAnsi="Arial"/>
                <w:sz w:val="20"/>
                <w:szCs w:val="20"/>
              </w:rPr>
            </w:pPr>
            <w:r>
              <w:rPr>
                <w:rFonts w:ascii="Arial" w:hAnsi="Arial"/>
                <w:sz w:val="20"/>
                <w:szCs w:val="20"/>
              </w:rPr>
            </w:r>
          </w:p>
          <w:p>
            <w:pPr>
              <w:pStyle w:val="Normal"/>
              <w:widowControl/>
              <w:suppressAutoHyphens w:val="true"/>
              <w:spacing w:before="0" w:after="200"/>
              <w:jc w:val="left"/>
              <w:rPr>
                <w:rFonts w:ascii="Arial" w:hAnsi="Arial"/>
                <w:sz w:val="20"/>
                <w:szCs w:val="20"/>
              </w:rPr>
            </w:pPr>
            <w:r>
              <w:rPr>
                <w:rFonts w:ascii="Arial" w:hAnsi="Arial"/>
                <w:sz w:val="20"/>
                <w:szCs w:val="20"/>
              </w:rPr>
            </w:r>
          </w:p>
          <w:p>
            <w:pPr>
              <w:pStyle w:val="Normal"/>
              <w:widowControl/>
              <w:suppressAutoHyphens w:val="true"/>
              <w:spacing w:before="0" w:after="200"/>
              <w:jc w:val="center"/>
              <w:rPr>
                <w:rFonts w:ascii="Arial" w:hAnsi="Arial"/>
                <w:sz w:val="20"/>
                <w:szCs w:val="20"/>
              </w:rPr>
            </w:pPr>
            <w:r>
              <w:rPr/>
              <w:drawing>
                <wp:inline distT="0" distB="0" distL="0" distR="0">
                  <wp:extent cx="1677670" cy="2056765"/>
                  <wp:effectExtent l="0" t="0" r="0" b="0"/>
                  <wp:docPr id="64" name="Paveikslėlis 17" descr="Foot Print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aveikslėlis 17" descr="Foot Print (image)"/>
                          <pic:cNvPicPr>
                            <a:picLocks noChangeAspect="1" noChangeArrowheads="1"/>
                          </pic:cNvPicPr>
                        </pic:nvPicPr>
                        <pic:blipFill>
                          <a:blip r:embed="rId66"/>
                          <a:srcRect l="17427" t="0" r="21411" b="0"/>
                          <a:stretch>
                            <a:fillRect/>
                          </a:stretch>
                        </pic:blipFill>
                        <pic:spPr bwMode="auto">
                          <a:xfrm>
                            <a:off x="0" y="0"/>
                            <a:ext cx="1677670" cy="2056765"/>
                          </a:xfrm>
                          <a:prstGeom prst="rect">
                            <a:avLst/>
                          </a:prstGeom>
                          <a:noFill/>
                        </pic:spPr>
                      </pic:pic>
                    </a:graphicData>
                  </a:graphic>
                </wp:inline>
              </w:drawing>
            </w:r>
          </w:p>
          <w:p>
            <w:pPr>
              <w:pStyle w:val="Normal"/>
              <w:widowControl/>
              <w:suppressAutoHyphens w:val="true"/>
              <w:spacing w:before="0" w:after="200"/>
              <w:jc w:val="left"/>
              <w:rPr>
                <w:rFonts w:ascii="Arial" w:hAnsi="Arial"/>
                <w:sz w:val="20"/>
                <w:szCs w:val="20"/>
              </w:rPr>
            </w:pPr>
            <w:r>
              <w:rPr>
                <w:rFonts w:ascii="Arial" w:hAnsi="Arial"/>
                <w:sz w:val="20"/>
                <w:szCs w:val="20"/>
              </w:rPr>
            </w:r>
          </w:p>
        </w:tc>
        <w:tc>
          <w:tcPr>
            <w:tcW w:w="5545" w:type="dxa"/>
            <w:tcBorders>
              <w:top w:val="nil"/>
            </w:tcBorders>
          </w:tcPr>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Objektas: </w:t>
            </w:r>
            <w:r>
              <w:rPr>
                <w:rFonts w:eastAsia="Calibri" w:ascii="Arial" w:hAnsi="Arial"/>
                <w:kern w:val="0"/>
                <w:sz w:val="20"/>
                <w:szCs w:val="20"/>
                <w:lang w:val="en-US" w:eastAsia="en-US" w:bidi="ar-SA"/>
              </w:rPr>
              <w:t>Vaikų žaidimų įrenginys ŽA07</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Matmenys: </w:t>
            </w:r>
            <w:r>
              <w:rPr>
                <w:rFonts w:eastAsia="Calibri" w:ascii="Arial" w:hAnsi="Arial"/>
                <w:kern w:val="0"/>
                <w:sz w:val="20"/>
                <w:szCs w:val="20"/>
                <w:lang w:val="en-US" w:eastAsia="en-US" w:bidi="ar-SA"/>
              </w:rPr>
              <w:t>37x309x83 cm</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Amžiaus grupė: 3</w:t>
            </w:r>
            <w:r>
              <w:rPr>
                <w:rFonts w:eastAsia="Calibri" w:ascii="Arial" w:hAnsi="Arial"/>
                <w:kern w:val="0"/>
                <w:sz w:val="20"/>
                <w:szCs w:val="20"/>
                <w:lang w:val="en-US" w:eastAsia="en-US" w:bidi="ar-SA"/>
              </w:rPr>
              <w:t>+</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Maksimalus galimas kritimo aukštis: </w:t>
            </w:r>
            <w:r>
              <w:rPr>
                <w:rFonts w:eastAsia="Calibri" w:ascii="Arial" w:hAnsi="Arial"/>
                <w:kern w:val="0"/>
                <w:sz w:val="20"/>
                <w:szCs w:val="20"/>
                <w:lang w:val="en-US" w:eastAsia="en-US" w:bidi="ar-SA"/>
              </w:rPr>
              <w:t>100 cm</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Saugumo zona: </w:t>
            </w:r>
            <w:r>
              <w:rPr>
                <w:rFonts w:eastAsia="Calibri" w:ascii="Arial" w:hAnsi="Arial"/>
                <w:kern w:val="0"/>
                <w:sz w:val="20"/>
                <w:szCs w:val="20"/>
                <w:lang w:val="en-US" w:eastAsia="en-US" w:bidi="ar-SA"/>
              </w:rPr>
              <w:t>11,3 m</w:t>
            </w:r>
            <w:r>
              <w:rPr>
                <w:rFonts w:eastAsia="Calibri" w:ascii="Arial" w:hAnsi="Arial"/>
                <w:kern w:val="0"/>
                <w:sz w:val="20"/>
                <w:szCs w:val="20"/>
                <w:vertAlign w:val="superscript"/>
                <w:lang w:val="en-US" w:eastAsia="en-US" w:bidi="ar-SA"/>
              </w:rPr>
              <w:t>2</w:t>
            </w:r>
          </w:p>
          <w:p>
            <w:pPr>
              <w:pStyle w:val="Normal"/>
              <w:widowControl/>
              <w:suppressAutoHyphens w:val="true"/>
              <w:spacing w:before="0" w:after="0"/>
              <w:jc w:val="both"/>
              <w:rPr>
                <w:rFonts w:eastAsia="Calibri"/>
                <w:kern w:val="0"/>
                <w:lang w:val="en-US" w:eastAsia="en-US" w:bidi="ar-SA"/>
              </w:rPr>
            </w:pPr>
            <w:r>
              <w:rPr>
                <w:rFonts w:eastAsia="Calibri" w:ascii="VAG Rounded Std;Arial;sans-seri" w:hAnsi="VAG Rounded Std;Arial;sans-seri"/>
                <w:b/>
                <w:bCs/>
                <w:kern w:val="0"/>
                <w:sz w:val="20"/>
                <w:szCs w:val="20"/>
                <w:lang w:val="en-US" w:eastAsia="en-US" w:bidi="ar-SA"/>
              </w:rPr>
              <w:t xml:space="preserve">Aprašas: </w:t>
            </w:r>
            <w:r>
              <w:rPr>
                <w:rFonts w:eastAsia="Calibri" w:ascii="Arial" w:hAnsi="Arial"/>
                <w:kern w:val="0"/>
                <w:sz w:val="20"/>
                <w:szCs w:val="20"/>
                <w:lang w:val="en-US" w:eastAsia="en-US" w:bidi="ar-SA"/>
              </w:rPr>
              <w:t>Sėdynė pagaminta iš HPL (didelio tankio laminato) nemažiau 17,8 mm storio, pasižyminčio labai didele nenusidėvėjimo stiprumu ir unikalia neslystančia paviršiaus tekstūra.</w:t>
            </w:r>
            <w:r>
              <w:rPr>
                <w:rFonts w:eastAsia="Calibri"/>
                <w:kern w:val="0"/>
                <w:sz w:val="22"/>
                <w:lang w:val="en-US" w:eastAsia="en-US" w:bidi="ar-SA"/>
              </w:rPr>
              <w:t xml:space="preserve"> </w:t>
            </w:r>
            <w:r>
              <w:rPr>
                <w:rFonts w:eastAsia="Calibri" w:ascii="Arial" w:hAnsi="Arial"/>
                <w:kern w:val="0"/>
                <w:sz w:val="20"/>
                <w:szCs w:val="20"/>
                <w:lang w:val="en-US" w:eastAsia="en-US" w:bidi="ar-SA"/>
              </w:rPr>
              <w:t>Spalvoti plieniniai komponentai turi karštai cinkuotą pagrindą ir polimero miltelinį sluoksnį kaip galutinį apdorojimą.</w:t>
            </w:r>
            <w:r>
              <w:rPr>
                <w:rFonts w:eastAsia="Calibri"/>
                <w:kern w:val="0"/>
                <w:sz w:val="22"/>
                <w:lang w:val="en-US" w:eastAsia="en-US" w:bidi="ar-SA"/>
              </w:rPr>
              <w:t xml:space="preserve"> </w:t>
            </w:r>
            <w:r>
              <w:rPr>
                <w:rFonts w:eastAsia="Calibri" w:ascii="Arial" w:hAnsi="Arial"/>
                <w:kern w:val="0"/>
                <w:sz w:val="20"/>
                <w:szCs w:val="20"/>
                <w:lang w:val="en-US" w:eastAsia="en-US" w:bidi="ar-SA"/>
              </w:rPr>
              <w:t xml:space="preserve">Atrama ir pagrindinis balkis karštai cinkuoti iš vidaus ir iš išorės cinku be švino. Pagrindinio balkio matmenys nemažiau 120 x130 mm. Rankenų skersmuo ne mažiau </w:t>
            </w:r>
            <w:r>
              <w:rPr>
                <w:rFonts w:eastAsia="Times New Roman" w:cs="Arial" w:ascii="Arial" w:hAnsi="Arial"/>
                <w:kern w:val="0"/>
                <w:sz w:val="20"/>
                <w:szCs w:val="20"/>
                <w:lang w:val="en-US" w:eastAsia="en-US" w:bidi="ar-SA"/>
              </w:rPr>
              <w:t>ø27 mm.</w:t>
            </w:r>
            <w:r>
              <w:rPr>
                <w:rFonts w:eastAsia="Calibri" w:ascii="Arial" w:hAnsi="Arial"/>
                <w:kern w:val="0"/>
                <w:sz w:val="20"/>
                <w:szCs w:val="20"/>
                <w:lang w:val="en-US" w:eastAsia="en-US" w:bidi="ar-SA"/>
              </w:rPr>
              <w:t xml:space="preserve"> Spyruoklės pagamintos iš aukštos kokybės nemažiau </w:t>
            </w:r>
            <w:r>
              <w:rPr>
                <w:rFonts w:eastAsia="Times New Roman" w:cs="Arial" w:ascii="Arial" w:hAnsi="Arial"/>
                <w:kern w:val="0"/>
                <w:sz w:val="20"/>
                <w:szCs w:val="20"/>
                <w:lang w:val="en-US" w:eastAsia="en-US" w:bidi="ar-SA"/>
              </w:rPr>
              <w:t>ø</w:t>
            </w:r>
            <w:r>
              <w:rPr>
                <w:rFonts w:eastAsia="Calibri" w:ascii="Arial" w:hAnsi="Arial"/>
                <w:kern w:val="0"/>
                <w:sz w:val="20"/>
                <w:szCs w:val="20"/>
                <w:lang w:val="en-US" w:eastAsia="en-US" w:bidi="ar-SA"/>
              </w:rPr>
              <w:t>18 cm diametro spyruoklinio plieno pagal EN10270 standartą.</w:t>
            </w:r>
            <w:r>
              <w:rPr>
                <w:rFonts w:eastAsia="Calibri"/>
                <w:kern w:val="0"/>
                <w:sz w:val="22"/>
                <w:lang w:val="en-US" w:eastAsia="en-US" w:bidi="ar-SA"/>
              </w:rPr>
              <w:t xml:space="preserve"> </w:t>
            </w:r>
            <w:r>
              <w:rPr>
                <w:rFonts w:eastAsia="Calibri" w:ascii="Arial" w:hAnsi="Arial"/>
                <w:kern w:val="0"/>
                <w:sz w:val="20"/>
                <w:szCs w:val="20"/>
                <w:lang w:val="en-US" w:eastAsia="en-US" w:bidi="ar-SA"/>
              </w:rPr>
              <w:t xml:space="preserve">Spyruoklės tvirtinamos unikaliomis apsaugos nuo suspaudimo detalėmis, užtikrinančiomis maksimalų saugumą ir ilgaamžiškumą. </w:t>
            </w:r>
            <w:r>
              <w:rPr>
                <w:rFonts w:eastAsia="Calibri" w:cs="Arial" w:ascii="Arial" w:hAnsi="Arial"/>
                <w:kern w:val="0"/>
                <w:sz w:val="20"/>
                <w:szCs w:val="20"/>
                <w:lang w:val="lt-LT" w:eastAsia="en-US" w:bidi="ar-SA"/>
              </w:rPr>
              <w:t>Gaminys pagamintas pagal ES naujausius gamtos tausojimo ir ekologijos standartus bei reikalavimus, šitam gaminiui pagaminti buvo perdirbta ir panaudota net 42,04% perdirbtų medžiagų kas padėjo išvengti didelio (CO</w:t>
            </w:r>
            <w:r>
              <w:rPr>
                <w:rFonts w:eastAsia="Calibri" w:cs="Cambria Math" w:ascii="Cambria Math" w:hAnsi="Cambria Math"/>
                <w:kern w:val="0"/>
                <w:sz w:val="20"/>
                <w:szCs w:val="20"/>
                <w:lang w:val="lt-LT" w:eastAsia="en-US" w:bidi="ar-SA"/>
              </w:rPr>
              <w:t>₂</w:t>
            </w:r>
            <w:r>
              <w:rPr>
                <w:rFonts w:eastAsia="Calibri" w:cs="Arial" w:ascii="Arial" w:hAnsi="Arial"/>
                <w:kern w:val="0"/>
                <w:sz w:val="20"/>
                <w:szCs w:val="20"/>
                <w:lang w:val="lt-LT" w:eastAsia="en-US" w:bidi="ar-SA"/>
              </w:rPr>
              <w:t xml:space="preserve">) išmetimo. Garantijos: karštai cinkuotam plienui amžina, HPL plokštėms – 15 metų, </w:t>
            </w:r>
            <w:r>
              <w:rPr>
                <w:rFonts w:eastAsia="Calibri" w:ascii="Arial" w:hAnsi="Arial"/>
                <w:kern w:val="0"/>
                <w:sz w:val="20"/>
                <w:szCs w:val="20"/>
                <w:lang w:val="lt-LT" w:eastAsia="en-US" w:bidi="ar-SA"/>
              </w:rPr>
              <w:t>atsarginių detalių garantija - 10 metų, spyruoklės - 5 metai.</w:t>
            </w:r>
          </w:p>
          <w:p>
            <w:pPr>
              <w:pStyle w:val="Normal"/>
              <w:widowControl/>
              <w:suppressAutoHyphens w:val="true"/>
              <w:spacing w:before="0" w:after="0"/>
              <w:jc w:val="both"/>
              <w:rPr>
                <w:rFonts w:ascii="Arial" w:hAnsi="Arial"/>
                <w:sz w:val="20"/>
                <w:szCs w:val="20"/>
              </w:rPr>
            </w:pPr>
            <w:r>
              <w:rPr>
                <w:rFonts w:eastAsia="Calibri" w:ascii="Arial" w:hAnsi="Arial"/>
                <w:kern w:val="0"/>
                <w:sz w:val="20"/>
                <w:szCs w:val="20"/>
                <w:lang w:val="lt-LT" w:eastAsia="en-US" w:bidi="ar-SA"/>
              </w:rPr>
              <w:t>Gaminys turi TUV sertifikatą pagal EN1176-1.</w:t>
            </w:r>
          </w:p>
          <w:p>
            <w:pPr>
              <w:pStyle w:val="Normal"/>
              <w:widowControl/>
              <w:suppressAutoHyphens w:val="true"/>
              <w:spacing w:before="0" w:after="0"/>
              <w:jc w:val="both"/>
              <w:rPr>
                <w:rFonts w:ascii="Arial" w:hAnsi="Arial"/>
                <w:sz w:val="20"/>
                <w:szCs w:val="20"/>
              </w:rPr>
            </w:pPr>
            <w:r>
              <w:rPr>
                <w:rFonts w:ascii="Arial" w:hAnsi="Arial"/>
                <w:sz w:val="20"/>
                <w:szCs w:val="20"/>
              </w:rPr>
            </w:r>
          </w:p>
          <w:p>
            <w:pPr>
              <w:pStyle w:val="Normal"/>
              <w:widowControl/>
              <w:suppressAutoHyphens w:val="true"/>
              <w:spacing w:before="0" w:after="0"/>
              <w:jc w:val="both"/>
              <w:rPr>
                <w:rFonts w:ascii="Arial" w:hAnsi="Arial"/>
                <w:sz w:val="20"/>
                <w:szCs w:val="20"/>
              </w:rPr>
            </w:pPr>
            <w:r>
              <w:rPr>
                <w:rFonts w:ascii="Arial" w:hAnsi="Arial"/>
                <w:sz w:val="20"/>
                <w:szCs w:val="20"/>
              </w:rPr>
            </w:r>
          </w:p>
        </w:tc>
      </w:tr>
      <w:tr>
        <w:trPr>
          <w:trHeight w:val="3693" w:hRule="atLeast"/>
          <w:cantSplit w:val="true"/>
        </w:trPr>
        <w:tc>
          <w:tcPr>
            <w:tcW w:w="1120" w:type="dxa"/>
            <w:tcBorders>
              <w:top w:val="nil"/>
            </w:tcBorders>
            <w:vAlign w:val="center"/>
          </w:tcPr>
          <w:p>
            <w:pPr>
              <w:pStyle w:val="Normal"/>
              <w:widowControl/>
              <w:suppressAutoHyphens w:val="true"/>
              <w:spacing w:before="0" w:after="0"/>
              <w:jc w:val="center"/>
              <w:rPr>
                <w:rFonts w:eastAsia="Calibri"/>
                <w:kern w:val="0"/>
                <w:lang w:val="en-US" w:eastAsia="en-US" w:bidi="ar-SA"/>
              </w:rPr>
            </w:pPr>
            <w:r>
              <w:rPr>
                <w:rFonts w:eastAsia="Calibri" w:ascii="Arial" w:hAnsi="Arial"/>
                <w:kern w:val="0"/>
                <w:sz w:val="20"/>
                <w:szCs w:val="20"/>
                <w:lang w:val="en-US" w:eastAsia="en-US" w:bidi="ar-SA"/>
              </w:rPr>
              <w:t>ŽA08</w:t>
            </w:r>
          </w:p>
        </w:tc>
        <w:tc>
          <w:tcPr>
            <w:tcW w:w="3595" w:type="dxa"/>
            <w:tcBorders>
              <w:top w:val="nil"/>
            </w:tcBorders>
            <w:vAlign w:val="center"/>
          </w:tcPr>
          <w:p>
            <w:pPr>
              <w:pStyle w:val="Normal"/>
              <w:widowControl/>
              <w:suppressAutoHyphens w:val="true"/>
              <w:spacing w:before="0" w:after="0"/>
              <w:jc w:val="left"/>
              <w:rPr>
                <w:rFonts w:ascii="Arial" w:hAnsi="Arial"/>
                <w:b/>
                <w:bCs/>
                <w:sz w:val="20"/>
                <w:szCs w:val="20"/>
              </w:rPr>
            </w:pPr>
            <w:r>
              <w:rPr>
                <w:rFonts w:ascii="Arial" w:hAnsi="Arial"/>
                <w:b/>
                <w:bCs/>
                <w:sz w:val="20"/>
                <w:szCs w:val="20"/>
              </w:rPr>
              <w:drawing>
                <wp:anchor behindDoc="0" distT="0" distB="0" distL="0" distR="0" simplePos="0" locked="0" layoutInCell="1" allowOverlap="1" relativeHeight="206">
                  <wp:simplePos x="0" y="0"/>
                  <wp:positionH relativeFrom="column">
                    <wp:posOffset>731520</wp:posOffset>
                  </wp:positionH>
                  <wp:positionV relativeFrom="paragraph">
                    <wp:posOffset>273050</wp:posOffset>
                  </wp:positionV>
                  <wp:extent cx="2150110" cy="1360170"/>
                  <wp:effectExtent l="0" t="0" r="0" b="0"/>
                  <wp:wrapSquare wrapText="largest"/>
                  <wp:docPr id="65" name="Image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30"/>
                          <pic:cNvPicPr>
                            <a:picLocks noChangeAspect="1" noChangeArrowheads="1"/>
                          </pic:cNvPicPr>
                        </pic:nvPicPr>
                        <pic:blipFill>
                          <a:blip r:embed="rId67"/>
                          <a:stretch>
                            <a:fillRect/>
                          </a:stretch>
                        </pic:blipFill>
                        <pic:spPr bwMode="auto">
                          <a:xfrm>
                            <a:off x="0" y="0"/>
                            <a:ext cx="2150110" cy="1360170"/>
                          </a:xfrm>
                          <a:prstGeom prst="rect">
                            <a:avLst/>
                          </a:prstGeom>
                          <a:noFill/>
                        </pic:spPr>
                      </pic:pic>
                    </a:graphicData>
                  </a:graphic>
                </wp:anchor>
              </w:drawing>
            </w:r>
          </w:p>
          <w:p>
            <w:pPr>
              <w:pStyle w:val="Normal"/>
              <w:widowControl/>
              <w:suppressAutoHyphens w:val="true"/>
              <w:spacing w:before="0" w:after="200"/>
              <w:jc w:val="left"/>
              <w:rPr>
                <w:rFonts w:ascii="Arial" w:hAnsi="Arial"/>
                <w:sz w:val="20"/>
                <w:szCs w:val="20"/>
              </w:rPr>
            </w:pPr>
            <w:r>
              <w:rPr/>
              <w:drawing>
                <wp:inline distT="0" distB="0" distL="0" distR="0">
                  <wp:extent cx="2145665" cy="1372870"/>
                  <wp:effectExtent l="0" t="0" r="0" b="0"/>
                  <wp:docPr id="66" name="Paveikslėlis 16" descr="Foot Print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aveikslėlis 16" descr="Foot Print (image)"/>
                          <pic:cNvPicPr>
                            <a:picLocks noChangeAspect="1" noChangeArrowheads="1"/>
                          </pic:cNvPicPr>
                        </pic:nvPicPr>
                        <pic:blipFill>
                          <a:blip r:embed="rId68"/>
                          <a:stretch>
                            <a:fillRect/>
                          </a:stretch>
                        </pic:blipFill>
                        <pic:spPr bwMode="auto">
                          <a:xfrm>
                            <a:off x="0" y="0"/>
                            <a:ext cx="2145665" cy="1372870"/>
                          </a:xfrm>
                          <a:prstGeom prst="rect">
                            <a:avLst/>
                          </a:prstGeom>
                          <a:noFill/>
                        </pic:spPr>
                      </pic:pic>
                    </a:graphicData>
                  </a:graphic>
                </wp:inline>
              </w:drawing>
            </w:r>
          </w:p>
        </w:tc>
        <w:tc>
          <w:tcPr>
            <w:tcW w:w="5545" w:type="dxa"/>
            <w:tcBorders>
              <w:top w:val="nil"/>
            </w:tcBorders>
          </w:tcPr>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Objektas: </w:t>
            </w:r>
            <w:r>
              <w:rPr>
                <w:rFonts w:eastAsia="Calibri" w:ascii="Arial" w:hAnsi="Arial"/>
                <w:kern w:val="0"/>
                <w:sz w:val="20"/>
                <w:szCs w:val="20"/>
                <w:lang w:val="en-US" w:eastAsia="en-US" w:bidi="ar-SA"/>
              </w:rPr>
              <w:t>Vaikų žaidimų įrenginys ŽA08</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Matmenys:</w:t>
            </w:r>
            <w:r>
              <w:rPr>
                <w:rFonts w:eastAsia="Calibri" w:ascii="Arial" w:hAnsi="Arial"/>
                <w:kern w:val="0"/>
                <w:sz w:val="20"/>
                <w:szCs w:val="20"/>
                <w:lang w:val="en-US" w:eastAsia="en-US" w:bidi="ar-SA"/>
              </w:rPr>
              <w:t xml:space="preserve"> 412x38x101 cm</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Amžiaus grupė: </w:t>
            </w:r>
            <w:r>
              <w:rPr>
                <w:rFonts w:eastAsia="Calibri" w:ascii="Arial" w:hAnsi="Arial"/>
                <w:kern w:val="0"/>
                <w:sz w:val="20"/>
                <w:szCs w:val="20"/>
                <w:lang w:val="en-US" w:eastAsia="en-US" w:bidi="ar-SA"/>
              </w:rPr>
              <w:t>3+</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Maksimalus galimas kritimo aukštis: </w:t>
            </w:r>
            <w:r>
              <w:rPr>
                <w:rFonts w:eastAsia="Calibri" w:ascii="Arial" w:hAnsi="Arial"/>
                <w:kern w:val="0"/>
                <w:sz w:val="20"/>
                <w:szCs w:val="20"/>
                <w:lang w:val="en-US" w:eastAsia="en-US" w:bidi="ar-SA"/>
              </w:rPr>
              <w:t>118 cm</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Saugumo zona: </w:t>
            </w:r>
            <w:r>
              <w:rPr>
                <w:rFonts w:eastAsia="Calibri" w:ascii="Arial" w:hAnsi="Arial"/>
                <w:kern w:val="0"/>
                <w:sz w:val="20"/>
                <w:szCs w:val="20"/>
                <w:lang w:val="en-US" w:eastAsia="en-US" w:bidi="ar-SA"/>
              </w:rPr>
              <w:t>13,7 m</w:t>
            </w:r>
            <w:r>
              <w:rPr>
                <w:rFonts w:eastAsia="Calibri" w:ascii="Arial" w:hAnsi="Arial"/>
                <w:kern w:val="0"/>
                <w:sz w:val="20"/>
                <w:szCs w:val="20"/>
                <w:vertAlign w:val="superscript"/>
                <w:lang w:val="en-US" w:eastAsia="en-US" w:bidi="ar-SA"/>
              </w:rPr>
              <w:t>2</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Aprašas: </w:t>
            </w:r>
            <w:r>
              <w:rPr>
                <w:rFonts w:eastAsia="Calibri" w:ascii="Arial" w:hAnsi="Arial"/>
                <w:kern w:val="0"/>
                <w:sz w:val="20"/>
                <w:szCs w:val="20"/>
                <w:lang w:val="en-US" w:eastAsia="en-US" w:bidi="ar-SA"/>
              </w:rPr>
              <w:t>Sėdynė pagaminta iš HPL (didelio tankio laminato) nemažiau 17,8 mm storio, pasižyminčio labai didele nenusidėvėjimo stiprumu ir unikalia neslystančia paviršiaus tekstūra.</w:t>
            </w:r>
            <w:r>
              <w:rPr>
                <w:rFonts w:eastAsia="Calibri"/>
                <w:kern w:val="0"/>
                <w:sz w:val="22"/>
                <w:lang w:val="en-US" w:eastAsia="en-US" w:bidi="ar-SA"/>
              </w:rPr>
              <w:t xml:space="preserve"> </w:t>
            </w:r>
            <w:r>
              <w:rPr>
                <w:rFonts w:eastAsia="Calibri" w:ascii="Arial" w:hAnsi="Arial"/>
                <w:kern w:val="0"/>
                <w:sz w:val="20"/>
                <w:szCs w:val="20"/>
                <w:lang w:val="en-US" w:eastAsia="en-US" w:bidi="ar-SA"/>
              </w:rPr>
              <w:t>Spalvoti plieniniai komponentai turi karštai cinkuotą pagrindą ir polimero miltelinį sluoksnį kaip galutinį apdorojimą.</w:t>
            </w:r>
            <w:r>
              <w:rPr>
                <w:rFonts w:eastAsia="Calibri"/>
                <w:kern w:val="0"/>
                <w:sz w:val="22"/>
                <w:lang w:val="en-US" w:eastAsia="en-US" w:bidi="ar-SA"/>
              </w:rPr>
              <w:t xml:space="preserve"> </w:t>
            </w:r>
            <w:r>
              <w:rPr>
                <w:rFonts w:eastAsia="Calibri" w:ascii="Arial" w:hAnsi="Arial"/>
                <w:kern w:val="0"/>
                <w:sz w:val="20"/>
                <w:szCs w:val="20"/>
                <w:lang w:val="en-US" w:eastAsia="en-US" w:bidi="ar-SA"/>
              </w:rPr>
              <w:t xml:space="preserve">Atrama ir pagrindinis balkis karštai cinkuoti iš vidaus ir iš išorės cinku be švino. Atramos plieno profilio matmenys nemažiau 120x120 mm, pagrindinio balkio nemažiau 120 x130 mm. Rankenų skersmuo ne mažiau </w:t>
            </w:r>
            <w:r>
              <w:rPr>
                <w:rFonts w:eastAsia="Times New Roman" w:cs="Arial" w:ascii="Arial" w:hAnsi="Arial"/>
                <w:kern w:val="0"/>
                <w:sz w:val="20"/>
                <w:szCs w:val="20"/>
                <w:lang w:val="en-US" w:eastAsia="en-US" w:bidi="ar-SA"/>
              </w:rPr>
              <w:t xml:space="preserve">ø27 mm. </w:t>
            </w:r>
            <w:r>
              <w:rPr>
                <w:rFonts w:eastAsia="Calibri" w:cs="Arial" w:ascii="Arial" w:hAnsi="Arial"/>
                <w:kern w:val="0"/>
                <w:sz w:val="20"/>
                <w:szCs w:val="20"/>
                <w:lang w:val="lt-LT" w:eastAsia="en-US" w:bidi="ar-SA"/>
              </w:rPr>
              <w:t>Gaminys pagamintas pagal ES naujausius gamtos tausojimo ir ekologijos standartus bei reikalavimus, šitam gaminiui pagaminti buvo perdirbta ir panaudota net 55,90% perdirbtų medžiagų kas padėjo išvengti didelio (CO</w:t>
            </w:r>
            <w:r>
              <w:rPr>
                <w:rFonts w:eastAsia="Calibri" w:cs="Cambria Math" w:ascii="Cambria Math" w:hAnsi="Cambria Math"/>
                <w:kern w:val="0"/>
                <w:sz w:val="20"/>
                <w:szCs w:val="20"/>
                <w:lang w:val="lt-LT" w:eastAsia="en-US" w:bidi="ar-SA"/>
              </w:rPr>
              <w:t>₂</w:t>
            </w:r>
            <w:r>
              <w:rPr>
                <w:rFonts w:eastAsia="Calibri" w:cs="Arial" w:ascii="Arial" w:hAnsi="Arial"/>
                <w:kern w:val="0"/>
                <w:sz w:val="20"/>
                <w:szCs w:val="20"/>
                <w:lang w:val="lt-LT" w:eastAsia="en-US" w:bidi="ar-SA"/>
              </w:rPr>
              <w:t xml:space="preserve">) išmetimo. Garantijos: karštai cinkuotam plienui amžina, HPL plokštėms – 15 metų, </w:t>
            </w:r>
            <w:r>
              <w:rPr>
                <w:rFonts w:eastAsia="Calibri" w:ascii="Arial" w:hAnsi="Arial"/>
                <w:kern w:val="0"/>
                <w:sz w:val="20"/>
                <w:szCs w:val="20"/>
                <w:lang w:val="lt-LT" w:eastAsia="en-US" w:bidi="ar-SA"/>
              </w:rPr>
              <w:t>atsarginių detalių garantija - 10 metų.</w:t>
            </w:r>
          </w:p>
          <w:p>
            <w:pPr>
              <w:pStyle w:val="Normal"/>
              <w:widowControl/>
              <w:suppressAutoHyphens w:val="true"/>
              <w:spacing w:before="0" w:after="0"/>
              <w:jc w:val="both"/>
              <w:rPr>
                <w:rFonts w:ascii="Arial" w:hAnsi="Arial"/>
                <w:sz w:val="20"/>
                <w:szCs w:val="20"/>
              </w:rPr>
            </w:pPr>
            <w:r>
              <w:rPr>
                <w:rFonts w:eastAsia="Calibri" w:ascii="Arial" w:hAnsi="Arial"/>
                <w:kern w:val="0"/>
                <w:sz w:val="20"/>
                <w:szCs w:val="20"/>
                <w:lang w:val="lt-LT" w:eastAsia="en-US" w:bidi="ar-SA"/>
              </w:rPr>
              <w:t>Gaminys turi TUV sertifikatą pagal EN1176-1.</w:t>
            </w:r>
          </w:p>
          <w:p>
            <w:pPr>
              <w:pStyle w:val="Normal"/>
              <w:widowControl/>
              <w:suppressAutoHyphens w:val="true"/>
              <w:spacing w:before="0" w:after="0"/>
              <w:jc w:val="both"/>
              <w:rPr>
                <w:rFonts w:ascii="Arial" w:hAnsi="Arial"/>
                <w:sz w:val="20"/>
                <w:szCs w:val="20"/>
              </w:rPr>
            </w:pPr>
            <w:r>
              <w:rPr>
                <w:rFonts w:ascii="Arial" w:hAnsi="Arial"/>
                <w:sz w:val="20"/>
                <w:szCs w:val="20"/>
              </w:rPr>
            </w:r>
          </w:p>
        </w:tc>
      </w:tr>
      <w:tr>
        <w:trPr>
          <w:trHeight w:val="3693" w:hRule="atLeast"/>
          <w:cantSplit w:val="true"/>
        </w:trPr>
        <w:tc>
          <w:tcPr>
            <w:tcW w:w="1120" w:type="dxa"/>
            <w:tcBorders>
              <w:top w:val="nil"/>
            </w:tcBorders>
            <w:vAlign w:val="center"/>
          </w:tcPr>
          <w:p>
            <w:pPr>
              <w:pStyle w:val="Normal"/>
              <w:widowControl/>
              <w:suppressAutoHyphens w:val="true"/>
              <w:spacing w:before="0" w:after="0"/>
              <w:jc w:val="center"/>
              <w:rPr>
                <w:rFonts w:eastAsia="Calibri"/>
                <w:kern w:val="0"/>
                <w:lang w:val="en-US" w:eastAsia="en-US" w:bidi="ar-SA"/>
              </w:rPr>
            </w:pPr>
            <w:r>
              <w:rPr>
                <w:rFonts w:eastAsia="Calibri" w:ascii="Arial" w:hAnsi="Arial"/>
                <w:kern w:val="0"/>
                <w:sz w:val="20"/>
                <w:szCs w:val="20"/>
                <w:lang w:val="en-US" w:eastAsia="en-US" w:bidi="ar-SA"/>
              </w:rPr>
              <w:t>ŽA09</w:t>
            </w:r>
          </w:p>
        </w:tc>
        <w:tc>
          <w:tcPr>
            <w:tcW w:w="3595" w:type="dxa"/>
            <w:tcBorders>
              <w:top w:val="nil"/>
            </w:tcBorders>
            <w:vAlign w:val="center"/>
          </w:tcPr>
          <w:p>
            <w:pPr>
              <w:pStyle w:val="Normal"/>
              <w:widowControl/>
              <w:suppressAutoHyphens w:val="true"/>
              <w:spacing w:before="0" w:after="0"/>
              <w:jc w:val="left"/>
              <w:rPr>
                <w:rFonts w:ascii="Arial" w:hAnsi="Arial"/>
                <w:b/>
                <w:bCs/>
                <w:sz w:val="20"/>
                <w:szCs w:val="20"/>
              </w:rPr>
            </w:pPr>
            <w:r>
              <w:rPr>
                <w:rFonts w:ascii="Arial" w:hAnsi="Arial"/>
                <w:b/>
                <w:bCs/>
                <w:sz w:val="20"/>
                <w:szCs w:val="20"/>
              </w:rPr>
              <w:drawing>
                <wp:anchor behindDoc="0" distT="0" distB="0" distL="0" distR="0" simplePos="0" locked="0" layoutInCell="1" allowOverlap="1" relativeHeight="207">
                  <wp:simplePos x="0" y="0"/>
                  <wp:positionH relativeFrom="column">
                    <wp:posOffset>711200</wp:posOffset>
                  </wp:positionH>
                  <wp:positionV relativeFrom="paragraph">
                    <wp:posOffset>170815</wp:posOffset>
                  </wp:positionV>
                  <wp:extent cx="2150110" cy="901065"/>
                  <wp:effectExtent l="0" t="0" r="0" b="0"/>
                  <wp:wrapSquare wrapText="largest"/>
                  <wp:docPr id="67" name="Image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31"/>
                          <pic:cNvPicPr>
                            <a:picLocks noChangeAspect="1" noChangeArrowheads="1"/>
                          </pic:cNvPicPr>
                        </pic:nvPicPr>
                        <pic:blipFill>
                          <a:blip r:embed="rId69"/>
                          <a:stretch>
                            <a:fillRect/>
                          </a:stretch>
                        </pic:blipFill>
                        <pic:spPr bwMode="auto">
                          <a:xfrm>
                            <a:off x="0" y="0"/>
                            <a:ext cx="2150110" cy="901065"/>
                          </a:xfrm>
                          <a:prstGeom prst="rect">
                            <a:avLst/>
                          </a:prstGeom>
                          <a:noFill/>
                        </pic:spPr>
                      </pic:pic>
                    </a:graphicData>
                  </a:graphic>
                </wp:anchor>
              </w:drawing>
            </w:r>
          </w:p>
        </w:tc>
        <w:tc>
          <w:tcPr>
            <w:tcW w:w="5545" w:type="dxa"/>
            <w:tcBorders>
              <w:top w:val="nil"/>
            </w:tcBorders>
          </w:tcPr>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Objektas: </w:t>
            </w:r>
            <w:r>
              <w:rPr>
                <w:rFonts w:eastAsia="Calibri" w:ascii="Arial" w:hAnsi="Arial"/>
                <w:kern w:val="0"/>
                <w:sz w:val="20"/>
                <w:szCs w:val="20"/>
                <w:lang w:val="en-US" w:eastAsia="en-US" w:bidi="ar-SA"/>
              </w:rPr>
              <w:t>Vaikų žaidimų įrenginys ŽA09</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Matmenys: </w:t>
            </w:r>
            <w:r>
              <w:rPr>
                <w:rFonts w:eastAsia="Calibri" w:ascii="Arial" w:hAnsi="Arial"/>
                <w:kern w:val="0"/>
                <w:sz w:val="20"/>
                <w:szCs w:val="20"/>
                <w:lang w:val="en-US" w:eastAsia="en-US" w:bidi="ar-SA"/>
              </w:rPr>
              <w:t>306x200x75 cm</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Amžiaus grupė: </w:t>
            </w:r>
            <w:r>
              <w:rPr>
                <w:rFonts w:eastAsia="Calibri" w:ascii="Arial" w:hAnsi="Arial"/>
                <w:kern w:val="0"/>
                <w:sz w:val="20"/>
                <w:szCs w:val="20"/>
                <w:lang w:val="en-US" w:eastAsia="en-US" w:bidi="ar-SA"/>
              </w:rPr>
              <w:t>1+</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Maksimalus galimas kritimo aukštis: </w:t>
            </w:r>
            <w:r>
              <w:rPr>
                <w:rFonts w:eastAsia="Calibri" w:ascii="Arial" w:hAnsi="Arial"/>
                <w:kern w:val="0"/>
                <w:sz w:val="20"/>
                <w:szCs w:val="20"/>
                <w:lang w:val="en-US" w:eastAsia="en-US" w:bidi="ar-SA"/>
              </w:rPr>
              <w:t>0 cm</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Saugumo zona: </w:t>
            </w:r>
            <w:r>
              <w:rPr>
                <w:rFonts w:eastAsia="Calibri" w:ascii="Arial" w:hAnsi="Arial"/>
                <w:kern w:val="0"/>
                <w:sz w:val="20"/>
                <w:szCs w:val="20"/>
                <w:lang w:val="en-US" w:eastAsia="en-US" w:bidi="ar-SA"/>
              </w:rPr>
              <w:t>20,9 m</w:t>
            </w:r>
            <w:r>
              <w:rPr>
                <w:rFonts w:eastAsia="Calibri" w:ascii="Arial" w:hAnsi="Arial"/>
                <w:kern w:val="0"/>
                <w:sz w:val="20"/>
                <w:szCs w:val="20"/>
                <w:vertAlign w:val="superscript"/>
                <w:lang w:val="en-US" w:eastAsia="en-US" w:bidi="ar-SA"/>
              </w:rPr>
              <w:t>2</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Aprašas: </w:t>
            </w:r>
            <w:r>
              <w:rPr>
                <w:rFonts w:eastAsia="Calibri" w:ascii="Arial" w:hAnsi="Arial"/>
                <w:kern w:val="0"/>
                <w:sz w:val="20"/>
                <w:szCs w:val="20"/>
                <w:lang w:val="en-US" w:eastAsia="en-US" w:bidi="ar-SA"/>
              </w:rPr>
              <w:t>Stimuliuojantis žaidimas jauniems vaikams. Susideda iš šių segmentų: Burbulų langelio, žiedų žaidimo, įlindimo angos, smėlio kaušelio ir numerių plokštės ir skaitliukų.</w:t>
            </w:r>
          </w:p>
          <w:p>
            <w:pPr>
              <w:pStyle w:val="Normal"/>
              <w:widowControl/>
              <w:suppressAutoHyphens w:val="true"/>
              <w:spacing w:before="0" w:after="0"/>
              <w:jc w:val="both"/>
              <w:rPr>
                <w:rFonts w:ascii="Arial" w:hAnsi="Arial" w:cs="Arial"/>
                <w:sz w:val="20"/>
                <w:szCs w:val="20"/>
                <w:lang w:val="lt-LT"/>
              </w:rPr>
            </w:pPr>
            <w:r>
              <w:rPr>
                <w:rFonts w:eastAsia="Calibri" w:cs="Arial" w:ascii="Arial" w:hAnsi="Arial"/>
                <w:b/>
                <w:bCs/>
                <w:kern w:val="0"/>
                <w:sz w:val="20"/>
                <w:szCs w:val="20"/>
                <w:lang w:val="lt-LT" w:eastAsia="en-US" w:bidi="ar-SA"/>
              </w:rPr>
              <w:t xml:space="preserve">Pagrindiniai stulpai: </w:t>
            </w:r>
            <w:r>
              <w:rPr>
                <w:rFonts w:eastAsia="Calibri" w:cs="Arial" w:ascii="Arial" w:hAnsi="Arial"/>
                <w:kern w:val="0"/>
                <w:sz w:val="20"/>
                <w:szCs w:val="20"/>
                <w:lang w:val="lt-LT" w:eastAsia="en-US" w:bidi="ar-SA"/>
              </w:rPr>
              <w:t xml:space="preserve">iš </w:t>
            </w:r>
            <w:r>
              <w:rPr>
                <w:rFonts w:eastAsia="Times New Roman" w:cs="Arial" w:ascii="Arial" w:hAnsi="Arial"/>
                <w:kern w:val="0"/>
                <w:sz w:val="20"/>
                <w:szCs w:val="20"/>
                <w:lang w:val="en-US" w:eastAsia="en-US" w:bidi="ar-SA"/>
              </w:rPr>
              <w:t>ø100 mm</w:t>
            </w:r>
            <w:r>
              <w:rPr>
                <w:rFonts w:eastAsia="Calibri" w:cs="Arial" w:ascii="Arial" w:hAnsi="Arial"/>
                <w:kern w:val="0"/>
                <w:sz w:val="20"/>
                <w:szCs w:val="20"/>
                <w:lang w:val="lt-LT" w:eastAsia="en-US" w:bidi="ar-SA"/>
              </w:rPr>
              <w:t xml:space="preserve"> Texmade: 95% po vartojimo perdirbtų polietileno ir tekstilės atliekų su karštai cinkuoto plieno pagrindu apačioje. Plokštės iš nemažiau 19 mm storio </w:t>
            </w:r>
            <w:r>
              <w:rPr>
                <w:rFonts w:eastAsia="Calibri" w:cs="Arial" w:ascii="Arial" w:hAnsi="Arial"/>
                <w:b/>
                <w:bCs/>
                <w:kern w:val="0"/>
                <w:sz w:val="20"/>
                <w:szCs w:val="20"/>
                <w:lang w:val="lt-LT" w:eastAsia="en-US" w:bidi="ar-SA"/>
              </w:rPr>
              <w:t xml:space="preserve">EcoCore™ </w:t>
            </w:r>
            <w:r>
              <w:rPr>
                <w:rFonts w:eastAsia="Calibri" w:cs="Arial" w:ascii="Arial" w:hAnsi="Arial"/>
                <w:kern w:val="0"/>
                <w:sz w:val="20"/>
                <w:szCs w:val="20"/>
                <w:lang w:val="lt-LT" w:eastAsia="en-US" w:bidi="ar-SA"/>
              </w:rPr>
              <w:t>polietileno, pagaminto iš 95 % po vartojimo perdirbtų vandenyno atliekų., ilgaamžis ir perdirbamas pakartotinai. Gaminys pagamintas pagal ES naujausius gamtos tausojimo ir ekologijos standartus bei reikalavimus, šitam gaminiui pagaminti buvo perdirbta ir panaudota net 76,93% perdirbtų medžiagų kas padėjo išvengti didelio (CO</w:t>
            </w:r>
            <w:r>
              <w:rPr>
                <w:rFonts w:eastAsia="Calibri" w:cs="Cambria Math" w:ascii="Cambria Math" w:hAnsi="Cambria Math"/>
                <w:kern w:val="0"/>
                <w:sz w:val="20"/>
                <w:szCs w:val="20"/>
                <w:lang w:val="lt-LT" w:eastAsia="en-US" w:bidi="ar-SA"/>
              </w:rPr>
              <w:t>₂</w:t>
            </w:r>
            <w:r>
              <w:rPr>
                <w:rFonts w:eastAsia="Calibri" w:cs="Arial" w:ascii="Arial" w:hAnsi="Arial"/>
                <w:kern w:val="0"/>
                <w:sz w:val="20"/>
                <w:szCs w:val="20"/>
                <w:lang w:val="lt-LT" w:eastAsia="en-US" w:bidi="ar-SA"/>
              </w:rPr>
              <w:t xml:space="preserve">) išmetimo. </w:t>
            </w:r>
            <w:r>
              <w:rPr>
                <w:rFonts w:eastAsia="Calibri" w:ascii="Arial" w:hAnsi="Arial"/>
                <w:kern w:val="0"/>
                <w:sz w:val="20"/>
                <w:szCs w:val="20"/>
                <w:lang w:val="lt-LT" w:eastAsia="en-US" w:bidi="ar-SA"/>
              </w:rPr>
              <w:t>Garantijos: karštai cinkuotas plienas ir EcoCore polietilenas - amžina; judančios dalys - 2 metai, Atramų ir atsarginių detalių garantija - 10 metų. Gaminys turi TUV sertifikatą pagal EN1176-1.</w:t>
            </w:r>
          </w:p>
          <w:p>
            <w:pPr>
              <w:pStyle w:val="Normal"/>
              <w:widowControl/>
              <w:suppressAutoHyphens w:val="true"/>
              <w:spacing w:before="0" w:after="0"/>
              <w:jc w:val="both"/>
              <w:rPr>
                <w:rFonts w:ascii="Arial" w:hAnsi="Arial"/>
                <w:sz w:val="20"/>
                <w:szCs w:val="20"/>
              </w:rPr>
            </w:pPr>
            <w:r>
              <w:rPr>
                <w:rFonts w:ascii="Arial" w:hAnsi="Arial"/>
                <w:sz w:val="20"/>
                <w:szCs w:val="20"/>
              </w:rPr>
            </w:r>
          </w:p>
          <w:p>
            <w:pPr>
              <w:pStyle w:val="Normal"/>
              <w:widowControl/>
              <w:suppressAutoHyphens w:val="true"/>
              <w:spacing w:before="0" w:after="0"/>
              <w:jc w:val="both"/>
              <w:rPr>
                <w:rFonts w:ascii="Arial" w:hAnsi="Arial"/>
                <w:sz w:val="20"/>
                <w:szCs w:val="20"/>
              </w:rPr>
            </w:pPr>
            <w:r>
              <w:rPr>
                <w:rFonts w:ascii="Arial" w:hAnsi="Arial"/>
                <w:sz w:val="20"/>
                <w:szCs w:val="20"/>
              </w:rPr>
            </w:r>
          </w:p>
        </w:tc>
      </w:tr>
      <w:tr>
        <w:trPr>
          <w:trHeight w:val="3693" w:hRule="atLeast"/>
          <w:cantSplit w:val="true"/>
        </w:trPr>
        <w:tc>
          <w:tcPr>
            <w:tcW w:w="1120" w:type="dxa"/>
            <w:tcBorders>
              <w:top w:val="nil"/>
            </w:tcBorders>
            <w:vAlign w:val="center"/>
          </w:tcPr>
          <w:p>
            <w:pPr>
              <w:pStyle w:val="Normal"/>
              <w:widowControl/>
              <w:suppressAutoHyphens w:val="true"/>
              <w:spacing w:before="0" w:after="0"/>
              <w:jc w:val="center"/>
              <w:rPr>
                <w:rFonts w:eastAsia="Calibri"/>
                <w:kern w:val="0"/>
                <w:lang w:val="en-US" w:eastAsia="en-US" w:bidi="ar-SA"/>
              </w:rPr>
            </w:pPr>
            <w:r>
              <w:rPr>
                <w:rFonts w:eastAsia="Calibri" w:ascii="Arial" w:hAnsi="Arial"/>
                <w:kern w:val="0"/>
                <w:sz w:val="20"/>
                <w:szCs w:val="20"/>
                <w:lang w:val="en-US" w:eastAsia="en-US" w:bidi="ar-SA"/>
              </w:rPr>
              <w:t>ŽA10</w:t>
            </w:r>
          </w:p>
        </w:tc>
        <w:tc>
          <w:tcPr>
            <w:tcW w:w="3595" w:type="dxa"/>
            <w:tcBorders>
              <w:top w:val="nil"/>
            </w:tcBorders>
            <w:vAlign w:val="center"/>
          </w:tcPr>
          <w:p>
            <w:pPr>
              <w:pStyle w:val="Normal"/>
              <w:widowControl/>
              <w:suppressAutoHyphens w:val="true"/>
              <w:spacing w:before="0" w:after="0"/>
              <w:jc w:val="left"/>
              <w:rPr>
                <w:rFonts w:ascii="Arial" w:hAnsi="Arial"/>
                <w:b/>
                <w:bCs/>
                <w:sz w:val="20"/>
                <w:szCs w:val="20"/>
              </w:rPr>
            </w:pPr>
            <w:r>
              <w:rPr>
                <w:rFonts w:ascii="Arial" w:hAnsi="Arial"/>
                <w:b/>
                <w:bCs/>
                <w:sz w:val="20"/>
                <w:szCs w:val="20"/>
              </w:rPr>
              <w:drawing>
                <wp:anchor behindDoc="0" distT="0" distB="0" distL="0" distR="0" simplePos="0" locked="0" layoutInCell="1" allowOverlap="1" relativeHeight="208">
                  <wp:simplePos x="0" y="0"/>
                  <wp:positionH relativeFrom="column">
                    <wp:posOffset>697230</wp:posOffset>
                  </wp:positionH>
                  <wp:positionV relativeFrom="paragraph">
                    <wp:posOffset>252730</wp:posOffset>
                  </wp:positionV>
                  <wp:extent cx="2150110" cy="1882775"/>
                  <wp:effectExtent l="0" t="0" r="0" b="0"/>
                  <wp:wrapSquare wrapText="largest"/>
                  <wp:docPr id="68" name="Image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32"/>
                          <pic:cNvPicPr>
                            <a:picLocks noChangeAspect="1" noChangeArrowheads="1"/>
                          </pic:cNvPicPr>
                        </pic:nvPicPr>
                        <pic:blipFill>
                          <a:blip r:embed="rId70"/>
                          <a:stretch>
                            <a:fillRect/>
                          </a:stretch>
                        </pic:blipFill>
                        <pic:spPr bwMode="auto">
                          <a:xfrm>
                            <a:off x="0" y="0"/>
                            <a:ext cx="2150110" cy="1882775"/>
                          </a:xfrm>
                          <a:prstGeom prst="rect">
                            <a:avLst/>
                          </a:prstGeom>
                          <a:noFill/>
                        </pic:spPr>
                      </pic:pic>
                    </a:graphicData>
                  </a:graphic>
                </wp:anchor>
              </w:drawing>
            </w:r>
          </w:p>
          <w:p>
            <w:pPr>
              <w:pStyle w:val="Normal"/>
              <w:widowControl/>
              <w:suppressAutoHyphens w:val="true"/>
              <w:spacing w:before="0" w:after="200"/>
              <w:jc w:val="center"/>
              <w:rPr>
                <w:rFonts w:ascii="Arial" w:hAnsi="Arial"/>
                <w:sz w:val="20"/>
                <w:szCs w:val="20"/>
              </w:rPr>
            </w:pPr>
            <w:r>
              <w:rPr/>
              <w:drawing>
                <wp:inline distT="0" distB="0" distL="0" distR="0">
                  <wp:extent cx="1948180" cy="2543810"/>
                  <wp:effectExtent l="0" t="0" r="0" b="0"/>
                  <wp:docPr id="69" name="Paveikslėlis 15" descr="Foot Print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aveikslėlis 15" descr="Foot Print (image)"/>
                          <pic:cNvPicPr>
                            <a:picLocks noChangeAspect="1" noChangeArrowheads="1"/>
                          </pic:cNvPicPr>
                        </pic:nvPicPr>
                        <pic:blipFill>
                          <a:blip r:embed="rId71"/>
                          <a:srcRect l="21859" t="0" r="20685" b="0"/>
                          <a:stretch>
                            <a:fillRect/>
                          </a:stretch>
                        </pic:blipFill>
                        <pic:spPr bwMode="auto">
                          <a:xfrm>
                            <a:off x="0" y="0"/>
                            <a:ext cx="1948180" cy="2543810"/>
                          </a:xfrm>
                          <a:prstGeom prst="rect">
                            <a:avLst/>
                          </a:prstGeom>
                          <a:noFill/>
                        </pic:spPr>
                      </pic:pic>
                    </a:graphicData>
                  </a:graphic>
                </wp:inline>
              </w:drawing>
            </w:r>
          </w:p>
          <w:p>
            <w:pPr>
              <w:pStyle w:val="Normal"/>
              <w:widowControl/>
              <w:suppressAutoHyphens w:val="true"/>
              <w:spacing w:before="0" w:after="200"/>
              <w:jc w:val="left"/>
              <w:rPr>
                <w:rFonts w:ascii="Arial" w:hAnsi="Arial"/>
                <w:sz w:val="20"/>
                <w:szCs w:val="20"/>
              </w:rPr>
            </w:pPr>
            <w:r>
              <w:rPr>
                <w:rFonts w:ascii="Arial" w:hAnsi="Arial"/>
                <w:sz w:val="20"/>
                <w:szCs w:val="20"/>
              </w:rPr>
            </w:r>
          </w:p>
          <w:p>
            <w:pPr>
              <w:pStyle w:val="Normal"/>
              <w:widowControl/>
              <w:suppressAutoHyphens w:val="true"/>
              <w:spacing w:before="0" w:after="200"/>
              <w:jc w:val="left"/>
              <w:rPr>
                <w:rFonts w:ascii="Arial" w:hAnsi="Arial"/>
                <w:sz w:val="20"/>
                <w:szCs w:val="20"/>
              </w:rPr>
            </w:pPr>
            <w:r>
              <w:rPr>
                <w:rFonts w:ascii="Arial" w:hAnsi="Arial"/>
                <w:sz w:val="20"/>
                <w:szCs w:val="20"/>
              </w:rPr>
            </w:r>
          </w:p>
        </w:tc>
        <w:tc>
          <w:tcPr>
            <w:tcW w:w="5545" w:type="dxa"/>
            <w:tcBorders>
              <w:top w:val="nil"/>
            </w:tcBorders>
          </w:tcPr>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Objektas: </w:t>
            </w:r>
            <w:r>
              <w:rPr>
                <w:rFonts w:eastAsia="Calibri" w:ascii="Arial" w:hAnsi="Arial"/>
                <w:kern w:val="0"/>
                <w:sz w:val="20"/>
                <w:szCs w:val="20"/>
                <w:lang w:val="en-US" w:eastAsia="en-US" w:bidi="ar-SA"/>
              </w:rPr>
              <w:t>Vaikų žaidimų įrenginys ŽA10</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Matmenys:</w:t>
            </w:r>
            <w:r>
              <w:rPr>
                <w:rFonts w:eastAsia="Calibri" w:ascii="Arial" w:hAnsi="Arial"/>
                <w:kern w:val="0"/>
                <w:sz w:val="20"/>
                <w:szCs w:val="20"/>
                <w:lang w:val="en-US" w:eastAsia="en-US" w:bidi="ar-SA"/>
              </w:rPr>
              <w:t>319x184x255 cm</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Amžiaus grupė: </w:t>
            </w:r>
            <w:r>
              <w:rPr>
                <w:rFonts w:eastAsia="Calibri" w:ascii="Arial" w:hAnsi="Arial"/>
                <w:kern w:val="0"/>
                <w:sz w:val="20"/>
                <w:szCs w:val="20"/>
                <w:lang w:val="en-US" w:eastAsia="en-US" w:bidi="ar-SA"/>
              </w:rPr>
              <w:t>2+</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Maksimalus galimas kritimo aukštis: </w:t>
            </w:r>
            <w:r>
              <w:rPr>
                <w:rFonts w:eastAsia="Calibri" w:ascii="Arial" w:hAnsi="Arial"/>
                <w:kern w:val="0"/>
                <w:sz w:val="20"/>
                <w:szCs w:val="20"/>
                <w:lang w:val="en-US" w:eastAsia="en-US" w:bidi="ar-SA"/>
              </w:rPr>
              <w:t>143 cm</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Saugumo zona: </w:t>
            </w:r>
            <w:r>
              <w:rPr>
                <w:rFonts w:eastAsia="Calibri" w:ascii="Arial" w:hAnsi="Arial"/>
                <w:kern w:val="0"/>
                <w:sz w:val="20"/>
                <w:szCs w:val="20"/>
                <w:lang w:val="en-US" w:eastAsia="en-US" w:bidi="ar-SA"/>
              </w:rPr>
              <w:t>17,5 m</w:t>
            </w:r>
            <w:r>
              <w:rPr>
                <w:rFonts w:eastAsia="Calibri" w:ascii="Arial" w:hAnsi="Arial"/>
                <w:kern w:val="0"/>
                <w:sz w:val="20"/>
                <w:szCs w:val="20"/>
                <w:vertAlign w:val="superscript"/>
                <w:lang w:val="en-US" w:eastAsia="en-US" w:bidi="ar-SA"/>
              </w:rPr>
              <w:t>2</w:t>
            </w:r>
          </w:p>
          <w:p>
            <w:pPr>
              <w:pStyle w:val="Normal"/>
              <w:widowControl/>
              <w:suppressAutoHyphens w:val="true"/>
              <w:spacing w:before="0" w:after="200"/>
              <w:jc w:val="both"/>
              <w:rPr>
                <w:rFonts w:ascii="Arial" w:hAnsi="Arial" w:eastAsia="Times New Roman" w:cs="Arial"/>
                <w:sz w:val="20"/>
                <w:szCs w:val="20"/>
              </w:rPr>
            </w:pPr>
            <w:r>
              <w:rPr>
                <w:rFonts w:eastAsia="Calibri" w:ascii="Arial" w:hAnsi="Arial"/>
                <w:b/>
                <w:bCs/>
                <w:kern w:val="0"/>
                <w:sz w:val="20"/>
                <w:szCs w:val="20"/>
                <w:lang w:val="en-US" w:eastAsia="en-US" w:bidi="ar-SA"/>
              </w:rPr>
              <w:t xml:space="preserve">Aprašas: </w:t>
            </w:r>
            <w:r>
              <w:rPr>
                <w:rFonts w:eastAsia="Times New Roman" w:cs="Arial" w:ascii="Arial" w:hAnsi="Arial"/>
                <w:kern w:val="0"/>
                <w:sz w:val="20"/>
                <w:szCs w:val="20"/>
                <w:lang w:val="en-US" w:eastAsia="en-US" w:bidi="ar-SA"/>
              </w:rPr>
              <w:t xml:space="preserve">Kojos ir skersinis pagaminti iš karštai cinkuoto plieno vamzdžio. Kojos nemžiau ø101,6x2,0 mm., skersinis nemažiau ø101,6x2,9 mm. Grandinės pagamintos iš nerūdijančio plieno, nemažiau ø6 mm pagal (DIN766 / ISO1834/ISO1835, EN1176, EN71-3) standartus. Jungtys ir “Anti Wrap” pakabos įtaisai pagaminti iš aliuminio lydinio, turinčio didelį atpsparumą korozijai (EN71-3). Gandro lizdo skersmuo ø100 cm. Lizdo išorė iš termoplastinio elastomero su polipropileno šerdimi. Toks sprendimas pasirinktas norint apsaugoti aplink esančius vaikus, supantis lizdu. Lizdo virvė pagaminta iš poliamido, papildomai sustiprinta, skersmuo ø16 mm. Varžtai ir nerūdijančio plieno. Lizdo tinklo jungtys 2 dalių. Kėdutės vidinis sluoksnis iš polipropileno, išorinis sluoksnis iš termoplastinio elastomero. </w:t>
            </w:r>
            <w:r>
              <w:rPr>
                <w:rFonts w:eastAsia="Calibri" w:cs="Arial" w:ascii="Arial" w:hAnsi="Arial"/>
                <w:kern w:val="0"/>
                <w:sz w:val="20"/>
                <w:szCs w:val="20"/>
                <w:lang w:val="lt-LT" w:eastAsia="en-US" w:bidi="ar-SA"/>
              </w:rPr>
              <w:t>Gaminys pagamintas pagal ES naujausius gamtos tausojimo ir ekologijos standartus bei reikalavimus, šitam gaminiui pagaminti buvo perdirbta ir panaudota net 42,78% perdirbtų medžiagų kas padėjo išvengti didelio (CO</w:t>
            </w:r>
            <w:r>
              <w:rPr>
                <w:rFonts w:eastAsia="Calibri" w:cs="Cambria Math" w:ascii="Cambria Math" w:hAnsi="Cambria Math"/>
                <w:kern w:val="0"/>
                <w:sz w:val="20"/>
                <w:szCs w:val="20"/>
                <w:lang w:val="lt-LT" w:eastAsia="en-US" w:bidi="ar-SA"/>
              </w:rPr>
              <w:t>₂</w:t>
            </w:r>
            <w:r>
              <w:rPr>
                <w:rFonts w:eastAsia="Calibri" w:cs="Arial" w:ascii="Arial" w:hAnsi="Arial"/>
                <w:kern w:val="0"/>
                <w:sz w:val="20"/>
                <w:szCs w:val="20"/>
                <w:lang w:val="lt-LT" w:eastAsia="en-US" w:bidi="ar-SA"/>
              </w:rPr>
              <w:t>) išmetimo. Garantijos: Grandinės, atsarginės dalys, kėdutės – 10 metų; sūpynių pakabos 5 metai; Vamzdžiai – visam laikui.</w:t>
            </w:r>
          </w:p>
        </w:tc>
      </w:tr>
      <w:tr>
        <w:trPr>
          <w:trHeight w:val="3693" w:hRule="atLeast"/>
          <w:cantSplit w:val="true"/>
        </w:trPr>
        <w:tc>
          <w:tcPr>
            <w:tcW w:w="1120" w:type="dxa"/>
            <w:tcBorders>
              <w:top w:val="nil"/>
            </w:tcBorders>
            <w:vAlign w:val="center"/>
          </w:tcPr>
          <w:p>
            <w:pPr>
              <w:pStyle w:val="Normal"/>
              <w:widowControl/>
              <w:suppressAutoHyphens w:val="true"/>
              <w:spacing w:before="0" w:after="0"/>
              <w:jc w:val="center"/>
              <w:rPr>
                <w:rFonts w:eastAsia="Calibri"/>
                <w:kern w:val="0"/>
                <w:lang w:val="en-US" w:eastAsia="en-US" w:bidi="ar-SA"/>
              </w:rPr>
            </w:pPr>
            <w:r>
              <w:rPr>
                <w:rFonts w:eastAsia="Calibri" w:ascii="Arial" w:hAnsi="Arial"/>
                <w:kern w:val="0"/>
                <w:sz w:val="20"/>
                <w:szCs w:val="20"/>
                <w:lang w:val="en-US" w:eastAsia="en-US" w:bidi="ar-SA"/>
              </w:rPr>
              <w:t>ŽA11</w:t>
            </w:r>
          </w:p>
        </w:tc>
        <w:tc>
          <w:tcPr>
            <w:tcW w:w="3595" w:type="dxa"/>
            <w:tcBorders>
              <w:top w:val="nil"/>
            </w:tcBorders>
            <w:vAlign w:val="center"/>
          </w:tcPr>
          <w:p>
            <w:pPr>
              <w:pStyle w:val="Normal"/>
              <w:widowControl/>
              <w:suppressAutoHyphens w:val="true"/>
              <w:spacing w:before="0" w:after="0"/>
              <w:jc w:val="left"/>
              <w:rPr>
                <w:rFonts w:ascii="Arial" w:hAnsi="Arial"/>
                <w:b/>
                <w:bCs/>
                <w:sz w:val="20"/>
                <w:szCs w:val="20"/>
              </w:rPr>
            </w:pPr>
            <w:r>
              <w:rPr/>
              <w:drawing>
                <wp:inline distT="0" distB="0" distL="0" distR="0">
                  <wp:extent cx="1789430" cy="2668270"/>
                  <wp:effectExtent l="0" t="0" r="0" b="0"/>
                  <wp:docPr id="70" name="Paveikslėlis 14" descr="Foot Print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aveikslėlis 14" descr="Foot Print (image)"/>
                          <pic:cNvPicPr>
                            <a:picLocks noChangeAspect="1" noChangeArrowheads="1"/>
                          </pic:cNvPicPr>
                        </pic:nvPicPr>
                        <pic:blipFill>
                          <a:blip r:embed="rId72"/>
                          <a:stretch>
                            <a:fillRect/>
                          </a:stretch>
                        </pic:blipFill>
                        <pic:spPr bwMode="auto">
                          <a:xfrm>
                            <a:off x="0" y="0"/>
                            <a:ext cx="1789430" cy="2668270"/>
                          </a:xfrm>
                          <a:prstGeom prst="rect">
                            <a:avLst/>
                          </a:prstGeom>
                          <a:noFill/>
                        </pic:spPr>
                      </pic:pic>
                    </a:graphicData>
                  </a:graphic>
                </wp:inline>
              </w:drawing>
              <w:drawing>
                <wp:anchor behindDoc="0" distT="0" distB="0" distL="0" distR="0" simplePos="0" locked="0" layoutInCell="1" allowOverlap="1" relativeHeight="209">
                  <wp:simplePos x="0" y="0"/>
                  <wp:positionH relativeFrom="column">
                    <wp:posOffset>717550</wp:posOffset>
                  </wp:positionH>
                  <wp:positionV relativeFrom="paragraph">
                    <wp:posOffset>136525</wp:posOffset>
                  </wp:positionV>
                  <wp:extent cx="2150110" cy="1878965"/>
                  <wp:effectExtent l="0" t="0" r="0" b="0"/>
                  <wp:wrapSquare wrapText="largest"/>
                  <wp:docPr id="71" name="Image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33"/>
                          <pic:cNvPicPr>
                            <a:picLocks noChangeAspect="1" noChangeArrowheads="1"/>
                          </pic:cNvPicPr>
                        </pic:nvPicPr>
                        <pic:blipFill>
                          <a:blip r:embed="rId73"/>
                          <a:stretch>
                            <a:fillRect/>
                          </a:stretch>
                        </pic:blipFill>
                        <pic:spPr bwMode="auto">
                          <a:xfrm>
                            <a:off x="0" y="0"/>
                            <a:ext cx="2150110" cy="1878965"/>
                          </a:xfrm>
                          <a:prstGeom prst="rect">
                            <a:avLst/>
                          </a:prstGeom>
                          <a:noFill/>
                        </pic:spPr>
                      </pic:pic>
                    </a:graphicData>
                  </a:graphic>
                </wp:anchor>
              </w:drawing>
            </w:r>
          </w:p>
        </w:tc>
        <w:tc>
          <w:tcPr>
            <w:tcW w:w="5545" w:type="dxa"/>
            <w:tcBorders>
              <w:top w:val="nil"/>
            </w:tcBorders>
          </w:tcPr>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Objektas: </w:t>
            </w:r>
            <w:r>
              <w:rPr>
                <w:rFonts w:eastAsia="Calibri" w:ascii="Arial" w:hAnsi="Arial"/>
                <w:kern w:val="0"/>
                <w:sz w:val="20"/>
                <w:szCs w:val="20"/>
                <w:lang w:val="en-US" w:eastAsia="en-US" w:bidi="ar-SA"/>
              </w:rPr>
              <w:t>Vaikų žaidimų įrenginys ŽA11</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Matmenys: </w:t>
            </w:r>
            <w:r>
              <w:rPr>
                <w:rFonts w:eastAsia="Calibri" w:ascii="Arial" w:hAnsi="Arial"/>
                <w:kern w:val="0"/>
                <w:sz w:val="20"/>
                <w:szCs w:val="20"/>
                <w:lang w:val="en-US" w:eastAsia="en-US" w:bidi="ar-SA"/>
              </w:rPr>
              <w:t>54x377x277 cm</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Amžiaus grupė: </w:t>
            </w:r>
            <w:r>
              <w:rPr>
                <w:rFonts w:eastAsia="Calibri" w:ascii="Arial" w:hAnsi="Arial"/>
                <w:kern w:val="0"/>
                <w:sz w:val="20"/>
                <w:szCs w:val="20"/>
                <w:lang w:val="en-US" w:eastAsia="en-US" w:bidi="ar-SA"/>
              </w:rPr>
              <w:t>4+</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Maksimalus galimas kritimo aukštis: </w:t>
            </w:r>
            <w:r>
              <w:rPr>
                <w:rFonts w:eastAsia="Calibri" w:ascii="Arial" w:hAnsi="Arial"/>
                <w:kern w:val="0"/>
                <w:sz w:val="20"/>
                <w:szCs w:val="20"/>
                <w:lang w:val="en-US" w:eastAsia="en-US" w:bidi="ar-SA"/>
              </w:rPr>
              <w:t>185 cm</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Saugumo zona: </w:t>
            </w:r>
            <w:r>
              <w:rPr>
                <w:rFonts w:eastAsia="Calibri" w:ascii="Arial" w:hAnsi="Arial"/>
                <w:kern w:val="0"/>
                <w:sz w:val="20"/>
                <w:szCs w:val="20"/>
                <w:lang w:val="en-US" w:eastAsia="en-US" w:bidi="ar-SA"/>
              </w:rPr>
              <w:t>23,1 m</w:t>
            </w:r>
            <w:r>
              <w:rPr>
                <w:rFonts w:eastAsia="Calibri" w:ascii="Arial" w:hAnsi="Arial"/>
                <w:kern w:val="0"/>
                <w:sz w:val="20"/>
                <w:szCs w:val="20"/>
                <w:vertAlign w:val="superscript"/>
                <w:lang w:val="en-US" w:eastAsia="en-US" w:bidi="ar-SA"/>
              </w:rPr>
              <w:t>2</w:t>
            </w:r>
          </w:p>
          <w:p>
            <w:pPr>
              <w:pStyle w:val="Normal"/>
              <w:widowControl/>
              <w:suppressAutoHyphens w:val="true"/>
              <w:spacing w:before="0" w:after="200"/>
              <w:jc w:val="left"/>
              <w:rPr>
                <w:rFonts w:ascii="Arial" w:hAnsi="Arial" w:cs="Arial"/>
                <w:sz w:val="20"/>
                <w:szCs w:val="20"/>
                <w:lang w:val="lt-LT"/>
              </w:rPr>
            </w:pPr>
            <w:r>
              <w:rPr>
                <w:rFonts w:eastAsia="Calibri" w:ascii="Arial" w:hAnsi="Arial"/>
                <w:b/>
                <w:bCs/>
                <w:kern w:val="0"/>
                <w:sz w:val="20"/>
                <w:szCs w:val="20"/>
                <w:lang w:val="en-US" w:eastAsia="en-US" w:bidi="ar-SA"/>
              </w:rPr>
              <w:t xml:space="preserve">Aprašas: </w:t>
            </w:r>
            <w:r>
              <w:rPr>
                <w:rFonts w:eastAsia="Calibri" w:cs="Arial" w:ascii="Arial" w:hAnsi="Arial"/>
                <w:color w:val="000000"/>
                <w:kern w:val="0"/>
                <w:sz w:val="20"/>
                <w:szCs w:val="20"/>
                <w:lang w:val="en-US" w:eastAsia="lt-LT" w:bidi="ar-SA"/>
              </w:rPr>
              <w:t xml:space="preserve">Medžiagos naudojamos gamyboje - metalo komponentai: Anglinis plienas su karštai </w:t>
            </w:r>
            <w:r>
              <w:rPr>
                <w:rFonts w:eastAsia="ArialMT" w:cs="Arial" w:ascii="Arial" w:hAnsi="Arial"/>
                <w:color w:val="000000"/>
                <w:kern w:val="0"/>
                <w:sz w:val="20"/>
                <w:szCs w:val="20"/>
                <w:lang w:val="en-US" w:eastAsia="lt-LT" w:bidi="ar-SA"/>
              </w:rPr>
              <w:t>cinkuotu paviršiumi pagal ISO 1461 standartą.  Nerūdijančio plieno klasės A</w:t>
            </w:r>
            <w:r>
              <w:rPr>
                <w:rFonts w:eastAsia="Calibri" w:cs="Arial" w:ascii="Arial" w:hAnsi="Arial"/>
                <w:color w:val="000000"/>
                <w:kern w:val="0"/>
                <w:sz w:val="20"/>
                <w:szCs w:val="20"/>
                <w:lang w:val="en-US" w:eastAsia="lt-LT" w:bidi="ar-SA"/>
              </w:rPr>
              <w:t xml:space="preserve">ISI304 arba </w:t>
            </w:r>
            <w:r>
              <w:rPr>
                <w:rFonts w:eastAsia="ArialMT" w:cs="Arial" w:ascii="Arial" w:hAnsi="Arial"/>
                <w:color w:val="000000"/>
                <w:kern w:val="0"/>
                <w:sz w:val="20"/>
                <w:szCs w:val="20"/>
                <w:lang w:val="en-US" w:eastAsia="lt-LT" w:bidi="ar-SA"/>
              </w:rPr>
              <w:t>AISI303. Nerūdijančio plieno čiuožykla su vientisu slankiojančiu plieno lakštu yra</w:t>
            </w:r>
            <w:r>
              <w:rPr>
                <w:rFonts w:eastAsia="Calibri" w:cs="Arial" w:ascii="Arial" w:hAnsi="Arial"/>
                <w:color w:val="000000"/>
                <w:kern w:val="0"/>
                <w:sz w:val="20"/>
                <w:szCs w:val="20"/>
                <w:lang w:val="en-US" w:eastAsia="lt-LT" w:bidi="ar-SA"/>
              </w:rPr>
              <w:t xml:space="preserve"> </w:t>
            </w:r>
            <w:r>
              <w:rPr>
                <w:rFonts w:eastAsia="ArialMT" w:cs="Arial" w:ascii="Arial" w:hAnsi="Arial"/>
                <w:color w:val="000000"/>
                <w:kern w:val="0"/>
                <w:sz w:val="20"/>
                <w:szCs w:val="20"/>
                <w:lang w:val="en-US" w:eastAsia="lt-LT" w:bidi="ar-SA"/>
              </w:rPr>
              <w:t>pagaminta iš aukštos kokybės nerūdijančio plieno AISI 304 klasės. Plieniniai paviršiai</w:t>
            </w:r>
            <w:r>
              <w:rPr>
                <w:rFonts w:eastAsia="Calibri" w:cs="Arial" w:ascii="Arial" w:hAnsi="Arial"/>
                <w:color w:val="000000"/>
                <w:kern w:val="0"/>
                <w:sz w:val="20"/>
                <w:szCs w:val="20"/>
                <w:lang w:val="en-US" w:eastAsia="lt-LT" w:bidi="ar-SA"/>
              </w:rPr>
              <w:t xml:space="preserve"> </w:t>
            </w:r>
            <w:r>
              <w:rPr>
                <w:rFonts w:eastAsia="ArialMT" w:cs="Arial" w:ascii="Arial" w:hAnsi="Arial"/>
                <w:color w:val="000000"/>
                <w:kern w:val="0"/>
                <w:sz w:val="20"/>
                <w:szCs w:val="20"/>
                <w:lang w:val="en-US" w:eastAsia="lt-LT" w:bidi="ar-SA"/>
              </w:rPr>
              <w:t xml:space="preserve">viduje ir išorėje yra cinkuoti be švino. Vamzdžiai nemažiau </w:t>
            </w:r>
            <w:r>
              <w:rPr>
                <w:rFonts w:eastAsia="Times New Roman" w:cs="Arial" w:ascii="Arial" w:hAnsi="Arial"/>
                <w:kern w:val="0"/>
                <w:sz w:val="20"/>
                <w:szCs w:val="20"/>
                <w:lang w:val="en-US" w:eastAsia="en-US" w:bidi="ar-SA"/>
              </w:rPr>
              <w:t>ø</w:t>
            </w:r>
            <w:r>
              <w:rPr>
                <w:rFonts w:eastAsia="ArialMT" w:cs="Arial" w:ascii="Arial" w:hAnsi="Arial"/>
                <w:color w:val="000000"/>
                <w:kern w:val="0"/>
                <w:sz w:val="20"/>
                <w:szCs w:val="20"/>
                <w:lang w:val="en-US" w:eastAsia="lt-LT" w:bidi="ar-SA"/>
              </w:rPr>
              <w:t xml:space="preserve">60,3 x 2,9 mm ir </w:t>
            </w:r>
            <w:r>
              <w:rPr>
                <w:rFonts w:eastAsia="Times New Roman" w:cs="Arial" w:ascii="Arial" w:hAnsi="Arial"/>
                <w:kern w:val="0"/>
                <w:sz w:val="20"/>
                <w:szCs w:val="20"/>
                <w:lang w:val="en-US" w:eastAsia="en-US" w:bidi="ar-SA"/>
              </w:rPr>
              <w:t>ø</w:t>
            </w:r>
            <w:r>
              <w:rPr>
                <w:rFonts w:eastAsia="ArialMT" w:cs="Arial" w:ascii="Arial" w:hAnsi="Arial"/>
                <w:color w:val="000000"/>
                <w:kern w:val="0"/>
                <w:sz w:val="20"/>
                <w:szCs w:val="20"/>
                <w:lang w:val="en-US" w:eastAsia="lt-LT" w:bidi="ar-SA"/>
              </w:rPr>
              <w:t>33,7 x 2,25 mm. Plienų profiliai nemažiau: 48 x 20 x 2 mm, 60 x 100 mm, 60 x 5 mm, 50 x 5 mm, 50 x 4 mm. Galvanizavimas turi puikų atsparumą korozijai išorės</w:t>
            </w:r>
            <w:r>
              <w:rPr>
                <w:rFonts w:eastAsia="Calibri" w:cs="Arial" w:ascii="Arial" w:hAnsi="Arial"/>
                <w:color w:val="000000"/>
                <w:kern w:val="0"/>
                <w:sz w:val="20"/>
                <w:szCs w:val="20"/>
                <w:lang w:val="en-US" w:eastAsia="lt-LT" w:bidi="ar-SA"/>
              </w:rPr>
              <w:t xml:space="preserve"> </w:t>
            </w:r>
            <w:r>
              <w:rPr>
                <w:rFonts w:eastAsia="ArialMT" w:cs="Arial" w:ascii="Arial" w:hAnsi="Arial"/>
                <w:color w:val="000000"/>
                <w:kern w:val="0"/>
                <w:sz w:val="20"/>
                <w:szCs w:val="20"/>
                <w:lang w:val="en-US" w:eastAsia="lt-LT" w:bidi="ar-SA"/>
              </w:rPr>
              <w:t>aplinkoje ir reikalauja mažos priežiūros. Plokštes iš nemažiau 19mm storio „EcoCore ™“ polietileno. „EcoCore ™“</w:t>
            </w:r>
            <w:r>
              <w:rPr>
                <w:rFonts w:eastAsia="Calibri" w:cs="Arial" w:ascii="Arial" w:hAnsi="Arial"/>
                <w:color w:val="000000"/>
                <w:kern w:val="0"/>
                <w:sz w:val="20"/>
                <w:szCs w:val="20"/>
                <w:lang w:val="en-US" w:eastAsia="lt-LT" w:bidi="ar-SA"/>
              </w:rPr>
              <w:t xml:space="preserve">yra labai patvari, ekologiška medžiaga, kuri yra ne tik perdirbama po naudojimo, bet ir </w:t>
            </w:r>
            <w:r>
              <w:rPr>
                <w:rFonts w:eastAsia="ArialMT" w:cs="Arial" w:ascii="Arial" w:hAnsi="Arial"/>
                <w:color w:val="000000"/>
                <w:kern w:val="0"/>
                <w:sz w:val="20"/>
                <w:szCs w:val="20"/>
                <w:lang w:val="en-US" w:eastAsia="lt-LT" w:bidi="ar-SA"/>
              </w:rPr>
              <w:t xml:space="preserve">susideda iš 95% perdirbtų po vartojimo medžiagų, gautų iš maisto pakuočių atliekų. Veržlės yra pagamintos iš poliamido (PA6). Visi plastikiniai komponentai išlaiko savo </w:t>
            </w:r>
            <w:r>
              <w:rPr>
                <w:rFonts w:eastAsia="Calibri" w:cs="Arial" w:ascii="Arial" w:hAnsi="Arial"/>
                <w:color w:val="000000"/>
                <w:kern w:val="0"/>
                <w:sz w:val="20"/>
                <w:szCs w:val="20"/>
                <w:lang w:val="en-US" w:eastAsia="lt-LT" w:bidi="ar-SA"/>
              </w:rPr>
              <w:t>savybes nuo -</w:t>
            </w:r>
            <w:r>
              <w:rPr>
                <w:rFonts w:eastAsia="ArialMT" w:cs="Arial" w:ascii="Arial" w:hAnsi="Arial"/>
                <w:color w:val="000000"/>
                <w:kern w:val="0"/>
                <w:sz w:val="20"/>
                <w:szCs w:val="20"/>
                <w:lang w:val="en-US" w:eastAsia="lt-LT" w:bidi="ar-SA"/>
              </w:rPr>
              <w:t xml:space="preserve">30 ° C iki +60 ° C. </w:t>
            </w:r>
            <w:r>
              <w:rPr>
                <w:rFonts w:eastAsia="Calibri" w:cs="Arial" w:ascii="Arial" w:hAnsi="Arial"/>
                <w:kern w:val="0"/>
                <w:sz w:val="20"/>
                <w:szCs w:val="20"/>
                <w:lang w:val="lt-LT" w:eastAsia="en-US" w:bidi="ar-SA"/>
              </w:rPr>
              <w:t>Gaminys pagamintas pagal ES naujausius gamtos tausojimo ir ekologijos standartus bei reikalavimus, šitam gaminiui pagaminti buvo perdirbta ir panaudota net 59,46% perdirbtų medžiagų kas padėjo išvengti didelio (CO</w:t>
            </w:r>
            <w:r>
              <w:rPr>
                <w:rFonts w:eastAsia="Calibri" w:cs="Cambria Math" w:ascii="Cambria Math" w:hAnsi="Cambria Math"/>
                <w:kern w:val="0"/>
                <w:sz w:val="20"/>
                <w:szCs w:val="20"/>
                <w:lang w:val="lt-LT" w:eastAsia="en-US" w:bidi="ar-SA"/>
              </w:rPr>
              <w:t>₂</w:t>
            </w:r>
            <w:r>
              <w:rPr>
                <w:rFonts w:eastAsia="Calibri" w:cs="Arial" w:ascii="Arial" w:hAnsi="Arial"/>
                <w:kern w:val="0"/>
                <w:sz w:val="20"/>
                <w:szCs w:val="20"/>
                <w:lang w:val="lt-LT" w:eastAsia="en-US" w:bidi="ar-SA"/>
              </w:rPr>
              <w:t xml:space="preserve">) išmetimo. Garantijos: </w:t>
            </w:r>
            <w:r>
              <w:rPr>
                <w:rFonts w:eastAsia="Calibri" w:ascii="Arial" w:hAnsi="Arial"/>
                <w:kern w:val="0"/>
                <w:sz w:val="20"/>
                <w:szCs w:val="20"/>
                <w:lang w:val="lt-LT" w:eastAsia="en-US" w:bidi="ar-SA"/>
              </w:rPr>
              <w:t>cinkuotoms plieninėms dalims ir EcoCore plokštėms – visam laikui, atsarginių detalių garantija - 10 metų, nerūdihančio plieno čiuožyklai – 10 metų.</w:t>
            </w:r>
            <w:r>
              <w:rPr>
                <w:rFonts w:eastAsia="Calibri" w:cs="Arial" w:ascii="Arial" w:hAnsi="Arial"/>
                <w:kern w:val="0"/>
                <w:sz w:val="20"/>
                <w:szCs w:val="20"/>
                <w:lang w:val="lt-LT" w:eastAsia="en-US" w:bidi="ar-SA"/>
              </w:rPr>
              <w:t xml:space="preserve"> </w:t>
            </w:r>
            <w:r>
              <w:rPr>
                <w:rFonts w:eastAsia="Calibri" w:ascii="Arial" w:hAnsi="Arial"/>
                <w:kern w:val="0"/>
                <w:sz w:val="20"/>
                <w:szCs w:val="20"/>
                <w:lang w:val="lt-LT" w:eastAsia="en-US" w:bidi="ar-SA"/>
              </w:rPr>
              <w:t>Gaminys turi TUV sertifikatą pagal EN1176-1.</w:t>
            </w:r>
          </w:p>
        </w:tc>
      </w:tr>
      <w:tr>
        <w:trPr>
          <w:trHeight w:val="3693" w:hRule="atLeast"/>
          <w:cantSplit w:val="true"/>
        </w:trPr>
        <w:tc>
          <w:tcPr>
            <w:tcW w:w="1120" w:type="dxa"/>
            <w:tcBorders>
              <w:top w:val="nil"/>
            </w:tcBorders>
            <w:vAlign w:val="center"/>
          </w:tcPr>
          <w:p>
            <w:pPr>
              <w:pStyle w:val="Normal"/>
              <w:widowControl/>
              <w:suppressAutoHyphens w:val="true"/>
              <w:spacing w:before="0" w:after="0"/>
              <w:jc w:val="center"/>
              <w:rPr>
                <w:rFonts w:eastAsia="Calibri"/>
                <w:kern w:val="0"/>
                <w:lang w:val="en-US" w:eastAsia="en-US" w:bidi="ar-SA"/>
              </w:rPr>
            </w:pPr>
            <w:r>
              <w:rPr>
                <w:rFonts w:eastAsia="Calibri" w:ascii="Arial" w:hAnsi="Arial"/>
                <w:kern w:val="0"/>
                <w:sz w:val="20"/>
                <w:szCs w:val="20"/>
                <w:lang w:val="en-US" w:eastAsia="en-US" w:bidi="ar-SA"/>
              </w:rPr>
              <w:t>ŽA12</w:t>
            </w:r>
          </w:p>
        </w:tc>
        <w:tc>
          <w:tcPr>
            <w:tcW w:w="3595" w:type="dxa"/>
            <w:tcBorders>
              <w:top w:val="nil"/>
            </w:tcBorders>
            <w:vAlign w:val="center"/>
          </w:tcPr>
          <w:p>
            <w:pPr>
              <w:pStyle w:val="Normal"/>
              <w:widowControl/>
              <w:suppressAutoHyphens w:val="true"/>
              <w:spacing w:before="0" w:after="0"/>
              <w:jc w:val="left"/>
              <w:rPr>
                <w:rFonts w:ascii="Arial" w:hAnsi="Arial"/>
                <w:b/>
                <w:bCs/>
                <w:sz w:val="20"/>
                <w:szCs w:val="20"/>
              </w:rPr>
            </w:pPr>
            <w:r>
              <w:rPr>
                <w:rFonts w:ascii="Arial" w:hAnsi="Arial"/>
                <w:b/>
                <w:bCs/>
                <w:sz w:val="20"/>
                <w:szCs w:val="20"/>
              </w:rPr>
            </w:r>
          </w:p>
          <w:p>
            <w:pPr>
              <w:pStyle w:val="Normal"/>
              <w:widowControl/>
              <w:suppressAutoHyphens w:val="true"/>
              <w:spacing w:before="0" w:after="200"/>
              <w:jc w:val="left"/>
              <w:rPr>
                <w:rFonts w:ascii="Arial" w:hAnsi="Arial"/>
                <w:sz w:val="20"/>
                <w:szCs w:val="20"/>
              </w:rPr>
            </w:pPr>
            <w:r>
              <w:rPr>
                <w:rFonts w:ascii="Arial" w:hAnsi="Arial"/>
                <w:sz w:val="20"/>
                <w:szCs w:val="20"/>
              </w:rPr>
              <w:drawing>
                <wp:anchor behindDoc="0" distT="0" distB="0" distL="0" distR="0" simplePos="0" locked="0" layoutInCell="1" allowOverlap="1" relativeHeight="210">
                  <wp:simplePos x="0" y="0"/>
                  <wp:positionH relativeFrom="column">
                    <wp:posOffset>41275</wp:posOffset>
                  </wp:positionH>
                  <wp:positionV relativeFrom="paragraph">
                    <wp:posOffset>442595</wp:posOffset>
                  </wp:positionV>
                  <wp:extent cx="2150110" cy="2072640"/>
                  <wp:effectExtent l="0" t="0" r="0" b="0"/>
                  <wp:wrapSquare wrapText="largest"/>
                  <wp:docPr id="72" name="Image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34"/>
                          <pic:cNvPicPr>
                            <a:picLocks noChangeAspect="1" noChangeArrowheads="1"/>
                          </pic:cNvPicPr>
                        </pic:nvPicPr>
                        <pic:blipFill>
                          <a:blip r:embed="rId74"/>
                          <a:stretch>
                            <a:fillRect/>
                          </a:stretch>
                        </pic:blipFill>
                        <pic:spPr bwMode="auto">
                          <a:xfrm>
                            <a:off x="0" y="0"/>
                            <a:ext cx="2150110" cy="2072640"/>
                          </a:xfrm>
                          <a:prstGeom prst="rect">
                            <a:avLst/>
                          </a:prstGeom>
                          <a:noFill/>
                        </pic:spPr>
                      </pic:pic>
                    </a:graphicData>
                  </a:graphic>
                </wp:anchor>
              </w:drawing>
            </w:r>
          </w:p>
          <w:p>
            <w:pPr>
              <w:pStyle w:val="Normal"/>
              <w:widowControl/>
              <w:suppressAutoHyphens w:val="true"/>
              <w:spacing w:before="0" w:after="200"/>
              <w:jc w:val="left"/>
              <w:rPr>
                <w:rFonts w:ascii="Arial" w:hAnsi="Arial"/>
                <w:sz w:val="20"/>
                <w:szCs w:val="20"/>
              </w:rPr>
            </w:pPr>
            <w:r>
              <w:rPr/>
              <w:drawing>
                <wp:inline distT="0" distB="0" distL="0" distR="0">
                  <wp:extent cx="2145665" cy="1609090"/>
                  <wp:effectExtent l="0" t="0" r="0" b="0"/>
                  <wp:docPr id="73" name="Image3 Copy 2" descr="Foot Print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age3 Copy 2" descr="Foot Print (image)"/>
                          <pic:cNvPicPr>
                            <a:picLocks noChangeAspect="1" noChangeArrowheads="1"/>
                          </pic:cNvPicPr>
                        </pic:nvPicPr>
                        <pic:blipFill>
                          <a:blip r:embed="rId75"/>
                          <a:stretch>
                            <a:fillRect/>
                          </a:stretch>
                        </pic:blipFill>
                        <pic:spPr bwMode="auto">
                          <a:xfrm>
                            <a:off x="0" y="0"/>
                            <a:ext cx="2145665" cy="1609090"/>
                          </a:xfrm>
                          <a:prstGeom prst="rect">
                            <a:avLst/>
                          </a:prstGeom>
                          <a:noFill/>
                        </pic:spPr>
                      </pic:pic>
                    </a:graphicData>
                  </a:graphic>
                </wp:inline>
              </w:drawing>
            </w:r>
          </w:p>
          <w:p>
            <w:pPr>
              <w:pStyle w:val="Normal"/>
              <w:widowControl/>
              <w:suppressAutoHyphens w:val="true"/>
              <w:spacing w:before="0" w:after="200"/>
              <w:jc w:val="left"/>
              <w:rPr>
                <w:rFonts w:ascii="Arial" w:hAnsi="Arial"/>
                <w:sz w:val="20"/>
                <w:szCs w:val="20"/>
              </w:rPr>
            </w:pPr>
            <w:r>
              <w:rPr>
                <w:rFonts w:ascii="Arial" w:hAnsi="Arial"/>
                <w:sz w:val="20"/>
                <w:szCs w:val="20"/>
              </w:rPr>
            </w:r>
          </w:p>
          <w:p>
            <w:pPr>
              <w:pStyle w:val="Normal"/>
              <w:widowControl/>
              <w:suppressAutoHyphens w:val="true"/>
              <w:spacing w:before="0" w:after="200"/>
              <w:jc w:val="left"/>
              <w:rPr>
                <w:rFonts w:ascii="Arial" w:hAnsi="Arial"/>
                <w:sz w:val="20"/>
                <w:szCs w:val="20"/>
              </w:rPr>
            </w:pPr>
            <w:r>
              <w:rPr>
                <w:rFonts w:ascii="Arial" w:hAnsi="Arial"/>
                <w:sz w:val="20"/>
                <w:szCs w:val="20"/>
              </w:rPr>
            </w:r>
          </w:p>
          <w:p>
            <w:pPr>
              <w:pStyle w:val="Normal"/>
              <w:widowControl/>
              <w:suppressAutoHyphens w:val="true"/>
              <w:spacing w:before="0" w:after="200"/>
              <w:jc w:val="left"/>
              <w:rPr>
                <w:rFonts w:ascii="Arial" w:hAnsi="Arial"/>
                <w:sz w:val="20"/>
                <w:szCs w:val="20"/>
              </w:rPr>
            </w:pPr>
            <w:r>
              <w:rPr>
                <w:rFonts w:ascii="Arial" w:hAnsi="Arial"/>
                <w:sz w:val="20"/>
                <w:szCs w:val="20"/>
              </w:rPr>
            </w:r>
          </w:p>
          <w:p>
            <w:pPr>
              <w:pStyle w:val="Normal"/>
              <w:widowControl/>
              <w:suppressAutoHyphens w:val="true"/>
              <w:spacing w:before="0" w:after="200"/>
              <w:jc w:val="left"/>
              <w:rPr>
                <w:rFonts w:ascii="Arial" w:hAnsi="Arial"/>
                <w:sz w:val="20"/>
                <w:szCs w:val="20"/>
              </w:rPr>
            </w:pPr>
            <w:r>
              <w:rPr>
                <w:rFonts w:ascii="Arial" w:hAnsi="Arial"/>
                <w:sz w:val="20"/>
                <w:szCs w:val="20"/>
              </w:rPr>
            </w:r>
          </w:p>
        </w:tc>
        <w:tc>
          <w:tcPr>
            <w:tcW w:w="5545" w:type="dxa"/>
            <w:tcBorders>
              <w:top w:val="nil"/>
            </w:tcBorders>
          </w:tcPr>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Objektas: </w:t>
            </w:r>
            <w:r>
              <w:rPr>
                <w:rFonts w:eastAsia="Calibri" w:ascii="Arial" w:hAnsi="Arial"/>
                <w:kern w:val="0"/>
                <w:sz w:val="20"/>
                <w:szCs w:val="20"/>
                <w:lang w:val="en-US" w:eastAsia="en-US" w:bidi="ar-SA"/>
              </w:rPr>
              <w:t>Vaikų žaidimų įrenginys ŽA12</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Matmenys: </w:t>
            </w:r>
            <w:r>
              <w:rPr>
                <w:rFonts w:eastAsia="Calibri" w:ascii="Arial" w:hAnsi="Arial"/>
                <w:kern w:val="0"/>
                <w:sz w:val="20"/>
                <w:szCs w:val="20"/>
                <w:lang w:val="en-US" w:eastAsia="en-US" w:bidi="ar-SA"/>
              </w:rPr>
              <w:t>40x51x78 cm</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Amžiaus grupė: </w:t>
            </w:r>
            <w:r>
              <w:rPr>
                <w:rFonts w:eastAsia="Calibri" w:ascii="Arial" w:hAnsi="Arial"/>
                <w:kern w:val="0"/>
                <w:sz w:val="20"/>
                <w:szCs w:val="20"/>
                <w:lang w:val="en-US" w:eastAsia="en-US" w:bidi="ar-SA"/>
              </w:rPr>
              <w:t>1+</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Maksimalus galimas kritimo aukštis: </w:t>
            </w:r>
            <w:r>
              <w:rPr>
                <w:rFonts w:eastAsia="Calibri" w:ascii="Arial" w:hAnsi="Arial"/>
                <w:kern w:val="0"/>
                <w:sz w:val="20"/>
                <w:szCs w:val="20"/>
                <w:lang w:val="en-US" w:eastAsia="en-US" w:bidi="ar-SA"/>
              </w:rPr>
              <w:t>60 cm</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Saugumo zona: </w:t>
            </w:r>
            <w:r>
              <w:rPr>
                <w:rFonts w:eastAsia="Calibri" w:ascii="Arial" w:hAnsi="Arial"/>
                <w:kern w:val="0"/>
                <w:sz w:val="20"/>
                <w:szCs w:val="20"/>
                <w:lang w:val="en-US" w:eastAsia="en-US" w:bidi="ar-SA"/>
              </w:rPr>
              <w:t>7,5 m</w:t>
            </w:r>
            <w:r>
              <w:rPr>
                <w:rFonts w:eastAsia="Calibri" w:ascii="Arial" w:hAnsi="Arial"/>
                <w:kern w:val="0"/>
                <w:sz w:val="20"/>
                <w:szCs w:val="20"/>
                <w:vertAlign w:val="superscript"/>
                <w:lang w:val="en-US" w:eastAsia="en-US" w:bidi="ar-SA"/>
              </w:rPr>
              <w:t>2</w:t>
            </w:r>
          </w:p>
          <w:p>
            <w:pPr>
              <w:pStyle w:val="Normal"/>
              <w:widowControl/>
              <w:suppressAutoHyphens w:val="true"/>
              <w:spacing w:before="0" w:after="0"/>
              <w:jc w:val="both"/>
              <w:rPr>
                <w:rFonts w:ascii="Arial" w:hAnsi="Arial"/>
                <w:sz w:val="20"/>
                <w:szCs w:val="20"/>
                <w:lang w:val="lt-LT"/>
              </w:rPr>
            </w:pPr>
            <w:r>
              <w:rPr>
                <w:rFonts w:eastAsia="Calibri" w:ascii="Arial" w:hAnsi="Arial"/>
                <w:b/>
                <w:bCs/>
                <w:kern w:val="0"/>
                <w:sz w:val="20"/>
                <w:szCs w:val="20"/>
                <w:lang w:val="en-US" w:eastAsia="en-US" w:bidi="ar-SA"/>
              </w:rPr>
              <w:t xml:space="preserve">Aprašas: </w:t>
            </w:r>
            <w:r>
              <w:rPr>
                <w:rFonts w:eastAsia="Calibri" w:ascii="Arial" w:hAnsi="Arial"/>
                <w:kern w:val="0"/>
                <w:sz w:val="20"/>
                <w:szCs w:val="20"/>
                <w:lang w:val="en-US" w:eastAsia="en-US" w:bidi="ar-SA"/>
              </w:rPr>
              <w:t xml:space="preserve">Spyruoklinė supynė mažamečiams - katė. Supynė susideda iš panelės pagamintos iš nemažiau 19 mm storio EcoCore polietileno </w:t>
            </w:r>
            <w:r>
              <w:rPr>
                <w:rStyle w:val="Strong"/>
                <w:rFonts w:eastAsia="Calibri" w:ascii="Arial" w:hAnsi="Arial"/>
                <w:b w:val="false"/>
                <w:bCs w:val="false"/>
                <w:kern w:val="0"/>
                <w:sz w:val="20"/>
                <w:szCs w:val="20"/>
                <w:lang w:val="en-US" w:eastAsia="en-US" w:bidi="ar-SA"/>
              </w:rPr>
              <w:t>plokštės. Plokštė yra</w:t>
            </w:r>
            <w:r>
              <w:rPr>
                <w:rFonts w:eastAsia="Calibri" w:ascii="Arial" w:hAnsi="Arial"/>
                <w:kern w:val="0"/>
                <w:sz w:val="20"/>
                <w:szCs w:val="20"/>
                <w:lang w:val="en-US" w:eastAsia="en-US" w:bidi="ar-SA"/>
              </w:rPr>
              <w:t xml:space="preserve"> perdirbama po naudojimo, o pagaminta iš 95 % perdirbtų maisto pakuočių atliekų.</w:t>
            </w:r>
            <w:r>
              <w:rPr>
                <w:rFonts w:eastAsia="Calibri"/>
                <w:kern w:val="0"/>
                <w:sz w:val="22"/>
                <w:lang w:val="en-US" w:eastAsia="en-US" w:bidi="ar-SA"/>
              </w:rPr>
              <w:t xml:space="preserve"> </w:t>
            </w:r>
            <w:r>
              <w:rPr>
                <w:rFonts w:eastAsia="Calibri" w:ascii="Arial" w:hAnsi="Arial"/>
                <w:kern w:val="0"/>
                <w:sz w:val="20"/>
                <w:szCs w:val="20"/>
                <w:lang w:val="en-US" w:eastAsia="en-US" w:bidi="ar-SA"/>
              </w:rPr>
              <w:t xml:space="preserve">Spyruoklės pagamintos iš aukštos kokybės nemažiau </w:t>
            </w:r>
            <w:r>
              <w:rPr>
                <w:rFonts w:eastAsia="Times New Roman" w:cs="Arial" w:ascii="Arial" w:hAnsi="Arial"/>
                <w:kern w:val="0"/>
                <w:sz w:val="20"/>
                <w:szCs w:val="20"/>
                <w:lang w:val="en-US" w:eastAsia="en-US" w:bidi="ar-SA"/>
              </w:rPr>
              <w:t>ø</w:t>
            </w:r>
            <w:r>
              <w:rPr>
                <w:rFonts w:eastAsia="Calibri" w:ascii="Arial" w:hAnsi="Arial"/>
                <w:kern w:val="0"/>
                <w:sz w:val="20"/>
                <w:szCs w:val="20"/>
                <w:lang w:val="en-US" w:eastAsia="en-US" w:bidi="ar-SA"/>
              </w:rPr>
              <w:t>18 cm diametro spyruoklinio plieno pagal EN10270 standartą.</w:t>
            </w:r>
            <w:r>
              <w:rPr>
                <w:rFonts w:eastAsia="Calibri"/>
                <w:kern w:val="0"/>
                <w:sz w:val="22"/>
                <w:lang w:val="en-US" w:eastAsia="en-US" w:bidi="ar-SA"/>
              </w:rPr>
              <w:t xml:space="preserve"> </w:t>
            </w:r>
            <w:r>
              <w:rPr>
                <w:rFonts w:eastAsia="Calibri" w:ascii="Arial" w:hAnsi="Arial"/>
                <w:kern w:val="0"/>
                <w:sz w:val="20"/>
                <w:szCs w:val="20"/>
                <w:lang w:val="en-US" w:eastAsia="en-US" w:bidi="ar-SA"/>
              </w:rPr>
              <w:t>Spyruoklės tvirtinamos unikaliomis apsaugos nuo suspaudimo detalėmis, užtikrinančiomis maksimalų saugumą ir ilgaamžiškumą.</w:t>
            </w:r>
            <w:r>
              <w:rPr>
                <w:rFonts w:eastAsia="Calibri"/>
                <w:kern w:val="0"/>
                <w:sz w:val="22"/>
                <w:lang w:val="en-US" w:eastAsia="en-US" w:bidi="ar-SA"/>
              </w:rPr>
              <w:t xml:space="preserve"> </w:t>
            </w:r>
            <w:r>
              <w:rPr>
                <w:rFonts w:eastAsia="Calibri" w:ascii="Arial" w:hAnsi="Arial"/>
                <w:kern w:val="0"/>
                <w:sz w:val="20"/>
                <w:szCs w:val="20"/>
                <w:lang w:val="en-US" w:eastAsia="en-US" w:bidi="ar-SA"/>
              </w:rPr>
              <w:t>Rankena pagaminta iš polipropileno (PP), kuris pasižymi puikiu astparumu smūgiams ir gali būti naudojamas plačiame temperatūrų diapazone.</w:t>
            </w:r>
            <w:r>
              <w:rPr>
                <w:rFonts w:eastAsia="Calibri"/>
                <w:kern w:val="0"/>
                <w:sz w:val="22"/>
                <w:lang w:val="en-US" w:eastAsia="en-US" w:bidi="ar-SA"/>
              </w:rPr>
              <w:t xml:space="preserve"> </w:t>
            </w:r>
            <w:r>
              <w:rPr>
                <w:rFonts w:eastAsia="Calibri" w:ascii="Arial" w:hAnsi="Arial"/>
                <w:kern w:val="0"/>
                <w:sz w:val="20"/>
                <w:szCs w:val="20"/>
                <w:lang w:val="en-US" w:eastAsia="en-US" w:bidi="ar-SA"/>
              </w:rPr>
              <w:t xml:space="preserve">Sėdynė pagaminta iš Ekogrip™“ plokštės, kuri susideda iš  nemažiau 15 mm storio polietileno pagrindo ir 3 mm storio viršutinio gumos sluoksnio su neslystančiu paviršiumi. </w:t>
            </w:r>
            <w:r>
              <w:rPr>
                <w:rFonts w:eastAsia="Calibri" w:cs="Arial" w:ascii="Arial" w:hAnsi="Arial"/>
                <w:kern w:val="0"/>
                <w:sz w:val="20"/>
                <w:szCs w:val="20"/>
                <w:lang w:val="lt-LT" w:eastAsia="en-US" w:bidi="ar-SA"/>
              </w:rPr>
              <w:t>Gaminys pagamintas pagal ES naujausius gamtos tausojimo ir ekologijos standartus bei reikalavimus, šitam gaminiui pagaminti buvo perdirbta ir panaudota net 50,61% perdirbtų medžiagų kas padėjo išvengti didelio (CO</w:t>
            </w:r>
            <w:r>
              <w:rPr>
                <w:rFonts w:eastAsia="Calibri" w:cs="Cambria Math" w:ascii="Cambria Math" w:hAnsi="Cambria Math"/>
                <w:kern w:val="0"/>
                <w:sz w:val="20"/>
                <w:szCs w:val="20"/>
                <w:lang w:val="lt-LT" w:eastAsia="en-US" w:bidi="ar-SA"/>
              </w:rPr>
              <w:t>₂</w:t>
            </w:r>
            <w:r>
              <w:rPr>
                <w:rFonts w:eastAsia="Calibri" w:cs="Arial" w:ascii="Arial" w:hAnsi="Arial"/>
                <w:kern w:val="0"/>
                <w:sz w:val="20"/>
                <w:szCs w:val="20"/>
                <w:lang w:val="lt-LT" w:eastAsia="en-US" w:bidi="ar-SA"/>
              </w:rPr>
              <w:t xml:space="preserve">) išmetimo. </w:t>
            </w:r>
            <w:r>
              <w:rPr>
                <w:rFonts w:eastAsia="Calibri" w:ascii="Arial" w:hAnsi="Arial"/>
                <w:kern w:val="0"/>
                <w:sz w:val="20"/>
                <w:szCs w:val="20"/>
                <w:lang w:val="lt-LT" w:eastAsia="en-US" w:bidi="ar-SA"/>
              </w:rPr>
              <w:t>Garantijos: karštai cinkuotas plienas ir EcoCore polietilenas - amžina; spyruoklė- 5 metai, atsarginių detalių garantija - 10 metų. Gaminys turi TUV sertifikatą pagal EN1176-1.</w:t>
            </w:r>
          </w:p>
        </w:tc>
      </w:tr>
      <w:tr>
        <w:trPr>
          <w:trHeight w:val="3693" w:hRule="atLeast"/>
          <w:cantSplit w:val="true"/>
        </w:trPr>
        <w:tc>
          <w:tcPr>
            <w:tcW w:w="1120" w:type="dxa"/>
            <w:tcBorders>
              <w:top w:val="nil"/>
            </w:tcBorders>
            <w:vAlign w:val="center"/>
          </w:tcPr>
          <w:p>
            <w:pPr>
              <w:pStyle w:val="Normal"/>
              <w:widowControl/>
              <w:suppressAutoHyphens w:val="true"/>
              <w:spacing w:before="0" w:after="0"/>
              <w:jc w:val="center"/>
              <w:rPr>
                <w:rFonts w:eastAsia="Calibri"/>
                <w:kern w:val="0"/>
                <w:lang w:val="en-US" w:eastAsia="en-US" w:bidi="ar-SA"/>
              </w:rPr>
            </w:pPr>
            <w:r>
              <w:rPr>
                <w:rFonts w:eastAsia="Calibri" w:ascii="Arial" w:hAnsi="Arial"/>
                <w:kern w:val="0"/>
                <w:sz w:val="20"/>
                <w:szCs w:val="20"/>
                <w:lang w:val="en-US" w:eastAsia="en-US" w:bidi="ar-SA"/>
              </w:rPr>
              <w:t>ŽA13</w:t>
            </w:r>
          </w:p>
        </w:tc>
        <w:tc>
          <w:tcPr>
            <w:tcW w:w="3595" w:type="dxa"/>
            <w:tcBorders>
              <w:top w:val="nil"/>
            </w:tcBorders>
            <w:vAlign w:val="center"/>
          </w:tcPr>
          <w:p>
            <w:pPr>
              <w:pStyle w:val="Normal"/>
              <w:widowControl/>
              <w:suppressAutoHyphens w:val="true"/>
              <w:spacing w:before="0" w:after="0"/>
              <w:jc w:val="left"/>
              <w:rPr>
                <w:rFonts w:ascii="Arial" w:hAnsi="Arial"/>
                <w:b/>
                <w:bCs/>
                <w:sz w:val="20"/>
                <w:szCs w:val="20"/>
              </w:rPr>
            </w:pPr>
            <w:r>
              <w:rPr/>
              <w:drawing>
                <wp:inline distT="0" distB="0" distL="0" distR="0">
                  <wp:extent cx="2145665" cy="2063750"/>
                  <wp:effectExtent l="0" t="0" r="0" b="0"/>
                  <wp:docPr id="74" name="Image4 Copy 2" descr="Foot Print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4 Copy 2" descr="Foot Print (image)"/>
                          <pic:cNvPicPr>
                            <a:picLocks noChangeAspect="1" noChangeArrowheads="1"/>
                          </pic:cNvPicPr>
                        </pic:nvPicPr>
                        <pic:blipFill>
                          <a:blip r:embed="rId76"/>
                          <a:stretch>
                            <a:fillRect/>
                          </a:stretch>
                        </pic:blipFill>
                        <pic:spPr bwMode="auto">
                          <a:xfrm>
                            <a:off x="0" y="0"/>
                            <a:ext cx="2145665" cy="2063750"/>
                          </a:xfrm>
                          <a:prstGeom prst="rect">
                            <a:avLst/>
                          </a:prstGeom>
                          <a:noFill/>
                        </pic:spPr>
                      </pic:pic>
                    </a:graphicData>
                  </a:graphic>
                </wp:inline>
              </w:drawing>
              <w:drawing>
                <wp:anchor behindDoc="0" distT="0" distB="0" distL="0" distR="0" simplePos="0" locked="0" layoutInCell="1" allowOverlap="1" relativeHeight="211">
                  <wp:simplePos x="0" y="0"/>
                  <wp:positionH relativeFrom="column">
                    <wp:align>center</wp:align>
                  </wp:positionH>
                  <wp:positionV relativeFrom="paragraph">
                    <wp:posOffset>635</wp:posOffset>
                  </wp:positionV>
                  <wp:extent cx="2150110" cy="2080895"/>
                  <wp:effectExtent l="0" t="0" r="0" b="0"/>
                  <wp:wrapSquare wrapText="largest"/>
                  <wp:docPr id="75" name="Image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age35"/>
                          <pic:cNvPicPr>
                            <a:picLocks noChangeAspect="1" noChangeArrowheads="1"/>
                          </pic:cNvPicPr>
                        </pic:nvPicPr>
                        <pic:blipFill>
                          <a:blip r:embed="rId77"/>
                          <a:stretch>
                            <a:fillRect/>
                          </a:stretch>
                        </pic:blipFill>
                        <pic:spPr bwMode="auto">
                          <a:xfrm>
                            <a:off x="0" y="0"/>
                            <a:ext cx="2150110" cy="2080895"/>
                          </a:xfrm>
                          <a:prstGeom prst="rect">
                            <a:avLst/>
                          </a:prstGeom>
                          <a:noFill/>
                        </pic:spPr>
                      </pic:pic>
                    </a:graphicData>
                  </a:graphic>
                </wp:anchor>
              </w:drawing>
            </w:r>
          </w:p>
        </w:tc>
        <w:tc>
          <w:tcPr>
            <w:tcW w:w="5545" w:type="dxa"/>
            <w:tcBorders>
              <w:top w:val="nil"/>
            </w:tcBorders>
          </w:tcPr>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Objektas: </w:t>
            </w:r>
            <w:r>
              <w:rPr>
                <w:rFonts w:eastAsia="Calibri" w:ascii="Arial" w:hAnsi="Arial"/>
                <w:kern w:val="0"/>
                <w:sz w:val="20"/>
                <w:szCs w:val="20"/>
                <w:lang w:val="en-US" w:eastAsia="en-US" w:bidi="ar-SA"/>
              </w:rPr>
              <w:t>Vaikų žaidimų įrenginys ŽA13</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Matmenys:</w:t>
            </w:r>
            <w:r>
              <w:rPr>
                <w:rFonts w:eastAsia="Calibri" w:ascii="Arial" w:hAnsi="Arial"/>
                <w:kern w:val="0"/>
                <w:sz w:val="20"/>
                <w:szCs w:val="20"/>
                <w:lang w:val="en-US" w:eastAsia="en-US" w:bidi="ar-SA"/>
              </w:rPr>
              <w:t>36x94x80 cm</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Amžiaus grupė: </w:t>
            </w:r>
            <w:r>
              <w:rPr>
                <w:rFonts w:eastAsia="Calibri" w:ascii="Arial" w:hAnsi="Arial"/>
                <w:kern w:val="0"/>
                <w:sz w:val="20"/>
                <w:szCs w:val="20"/>
                <w:lang w:val="en-US" w:eastAsia="en-US" w:bidi="ar-SA"/>
              </w:rPr>
              <w:t>1+</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Maksimalus galimas kritimo aukštis: </w:t>
            </w:r>
            <w:r>
              <w:rPr>
                <w:rFonts w:eastAsia="Calibri" w:ascii="Arial" w:hAnsi="Arial"/>
                <w:kern w:val="0"/>
                <w:sz w:val="20"/>
                <w:szCs w:val="20"/>
                <w:lang w:val="en-US" w:eastAsia="en-US" w:bidi="ar-SA"/>
              </w:rPr>
              <w:t>60 cm</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Saugumo zona: </w:t>
            </w:r>
            <w:r>
              <w:rPr>
                <w:rFonts w:eastAsia="Calibri" w:ascii="Arial" w:hAnsi="Arial"/>
                <w:kern w:val="0"/>
                <w:sz w:val="20"/>
                <w:szCs w:val="20"/>
                <w:lang w:val="en-US" w:eastAsia="en-US" w:bidi="ar-SA"/>
              </w:rPr>
              <w:t>7,5 m</w:t>
            </w:r>
            <w:r>
              <w:rPr>
                <w:rFonts w:eastAsia="Calibri" w:ascii="Arial" w:hAnsi="Arial"/>
                <w:kern w:val="0"/>
                <w:sz w:val="20"/>
                <w:szCs w:val="20"/>
                <w:vertAlign w:val="superscript"/>
                <w:lang w:val="en-US" w:eastAsia="en-US" w:bidi="ar-SA"/>
              </w:rPr>
              <w:t>2</w:t>
            </w:r>
          </w:p>
          <w:p>
            <w:pPr>
              <w:pStyle w:val="Normal"/>
              <w:widowControl/>
              <w:suppressAutoHyphens w:val="true"/>
              <w:spacing w:before="0" w:after="0"/>
              <w:jc w:val="both"/>
              <w:rPr>
                <w:rFonts w:ascii="Arial" w:hAnsi="Arial"/>
                <w:sz w:val="20"/>
                <w:szCs w:val="20"/>
              </w:rPr>
            </w:pPr>
            <w:r>
              <w:rPr>
                <w:rFonts w:eastAsia="Calibri" w:ascii="Arial" w:hAnsi="Arial"/>
                <w:b/>
                <w:bCs/>
                <w:kern w:val="0"/>
                <w:sz w:val="20"/>
                <w:szCs w:val="20"/>
                <w:lang w:val="en-US" w:eastAsia="en-US" w:bidi="ar-SA"/>
              </w:rPr>
              <w:t xml:space="preserve">Aprašas:  </w:t>
            </w:r>
            <w:r>
              <w:rPr>
                <w:rFonts w:eastAsia="Calibri" w:ascii="Arial" w:hAnsi="Arial"/>
                <w:kern w:val="0"/>
                <w:sz w:val="20"/>
                <w:szCs w:val="20"/>
                <w:lang w:val="en-US" w:eastAsia="en-US" w:bidi="ar-SA"/>
              </w:rPr>
              <w:t xml:space="preserve">Spyruoklinė supynė mažamečiams – šuo. Spyruoklinė supynė mažamečiams – gorila. Supynė susideda iš panelės pagamintos iš nemažiau 19 mm storio EcoCore polietileno </w:t>
            </w:r>
            <w:r>
              <w:rPr>
                <w:rStyle w:val="Strong"/>
                <w:rFonts w:eastAsia="Calibri" w:ascii="Arial" w:hAnsi="Arial"/>
                <w:b w:val="false"/>
                <w:bCs w:val="false"/>
                <w:kern w:val="0"/>
                <w:sz w:val="20"/>
                <w:szCs w:val="20"/>
                <w:lang w:val="en-US" w:eastAsia="en-US" w:bidi="ar-SA"/>
              </w:rPr>
              <w:t>plokštės. Plokštė yra</w:t>
            </w:r>
            <w:r>
              <w:rPr>
                <w:rFonts w:eastAsia="Calibri" w:ascii="Arial" w:hAnsi="Arial"/>
                <w:kern w:val="0"/>
                <w:sz w:val="20"/>
                <w:szCs w:val="20"/>
                <w:lang w:val="en-US" w:eastAsia="en-US" w:bidi="ar-SA"/>
              </w:rPr>
              <w:t xml:space="preserve"> perdirbama po naudojimo, o pagaminta iš 95 % perdirbtų maisto pakuočių atliekų.</w:t>
            </w:r>
            <w:r>
              <w:rPr>
                <w:rFonts w:eastAsia="Calibri"/>
                <w:kern w:val="0"/>
                <w:sz w:val="22"/>
                <w:lang w:val="en-US" w:eastAsia="en-US" w:bidi="ar-SA"/>
              </w:rPr>
              <w:t xml:space="preserve"> </w:t>
            </w:r>
            <w:r>
              <w:rPr>
                <w:rFonts w:eastAsia="Calibri" w:ascii="Arial" w:hAnsi="Arial"/>
                <w:kern w:val="0"/>
                <w:sz w:val="20"/>
                <w:szCs w:val="20"/>
                <w:lang w:val="en-US" w:eastAsia="en-US" w:bidi="ar-SA"/>
              </w:rPr>
              <w:t xml:space="preserve">Spyruoklės pagamintos iš aukštos kokybės nemažiau </w:t>
            </w:r>
            <w:r>
              <w:rPr>
                <w:rFonts w:eastAsia="Times New Roman" w:cs="Arial" w:ascii="Arial" w:hAnsi="Arial"/>
                <w:kern w:val="0"/>
                <w:sz w:val="20"/>
                <w:szCs w:val="20"/>
                <w:lang w:val="en-US" w:eastAsia="en-US" w:bidi="ar-SA"/>
              </w:rPr>
              <w:t>ø</w:t>
            </w:r>
            <w:r>
              <w:rPr>
                <w:rFonts w:eastAsia="Calibri" w:ascii="Arial" w:hAnsi="Arial"/>
                <w:kern w:val="0"/>
                <w:sz w:val="20"/>
                <w:szCs w:val="20"/>
                <w:lang w:val="en-US" w:eastAsia="en-US" w:bidi="ar-SA"/>
              </w:rPr>
              <w:t>18 cm diametro spyruoklinio plieno pagal EN10270 standartą.</w:t>
            </w:r>
            <w:r>
              <w:rPr>
                <w:rFonts w:eastAsia="Calibri"/>
                <w:kern w:val="0"/>
                <w:sz w:val="22"/>
                <w:lang w:val="en-US" w:eastAsia="en-US" w:bidi="ar-SA"/>
              </w:rPr>
              <w:t xml:space="preserve"> </w:t>
            </w:r>
            <w:r>
              <w:rPr>
                <w:rFonts w:eastAsia="Calibri" w:ascii="Arial" w:hAnsi="Arial"/>
                <w:kern w:val="0"/>
                <w:sz w:val="20"/>
                <w:szCs w:val="20"/>
                <w:lang w:val="en-US" w:eastAsia="en-US" w:bidi="ar-SA"/>
              </w:rPr>
              <w:t>Spyruoklės tvirtinamos unikaliomis apsaugos nuo suspaudimo detalėmis, užtikrinančiomis maksimalų saugumą ir ilgaamžiškumą.</w:t>
            </w:r>
            <w:r>
              <w:rPr>
                <w:rFonts w:eastAsia="Calibri"/>
                <w:kern w:val="0"/>
                <w:sz w:val="22"/>
                <w:lang w:val="en-US" w:eastAsia="en-US" w:bidi="ar-SA"/>
              </w:rPr>
              <w:t xml:space="preserve"> </w:t>
            </w:r>
            <w:r>
              <w:rPr>
                <w:rFonts w:eastAsia="Calibri" w:ascii="Arial" w:hAnsi="Arial"/>
                <w:kern w:val="0"/>
                <w:sz w:val="20"/>
                <w:szCs w:val="20"/>
                <w:lang w:val="en-US" w:eastAsia="en-US" w:bidi="ar-SA"/>
              </w:rPr>
              <w:t>Rankenos ir kojų atramos pagaminti iš liejimo būdu formuoto aukštos kokybės poliamido, pasižymi geru atsparumu dėvėjimuisi ir smūgiams.</w:t>
            </w:r>
            <w:r>
              <w:rPr>
                <w:rFonts w:eastAsia="Calibri"/>
                <w:kern w:val="0"/>
                <w:sz w:val="22"/>
                <w:lang w:val="en-US" w:eastAsia="en-US" w:bidi="ar-SA"/>
              </w:rPr>
              <w:t xml:space="preserve"> </w:t>
            </w:r>
            <w:r>
              <w:rPr>
                <w:rFonts w:eastAsia="Calibri" w:ascii="Arial" w:hAnsi="Arial"/>
                <w:kern w:val="0"/>
                <w:sz w:val="20"/>
                <w:szCs w:val="20"/>
                <w:lang w:val="en-US" w:eastAsia="en-US" w:bidi="ar-SA"/>
              </w:rPr>
              <w:t>Sėdynė pagaminta iš suformuoto polipropileno įdėklo su išoriniu minkštu TPE gumos sluoksniu. TPE guma</w:t>
            </w:r>
          </w:p>
          <w:p>
            <w:pPr>
              <w:pStyle w:val="Normal"/>
              <w:widowControl/>
              <w:suppressAutoHyphens w:val="true"/>
              <w:spacing w:before="0" w:after="0"/>
              <w:jc w:val="both"/>
              <w:rPr>
                <w:rFonts w:ascii="Arial" w:hAnsi="Arial"/>
                <w:sz w:val="20"/>
                <w:szCs w:val="20"/>
              </w:rPr>
            </w:pPr>
            <w:r>
              <w:rPr>
                <w:rFonts w:eastAsia="Calibri" w:ascii="Arial" w:hAnsi="Arial"/>
                <w:kern w:val="0"/>
                <w:sz w:val="20"/>
                <w:szCs w:val="20"/>
                <w:lang w:val="en-US" w:eastAsia="en-US" w:bidi="ar-SA"/>
              </w:rPr>
              <w:t>gerai sugeria smūgius ir užtikrina ilgaamžį</w:t>
            </w:r>
          </w:p>
          <w:p>
            <w:pPr>
              <w:pStyle w:val="Normal"/>
              <w:widowControl/>
              <w:suppressAutoHyphens w:val="true"/>
              <w:spacing w:before="0" w:after="0"/>
              <w:jc w:val="both"/>
              <w:rPr>
                <w:rFonts w:ascii="Arial" w:hAnsi="Arial"/>
                <w:sz w:val="20"/>
                <w:szCs w:val="20"/>
              </w:rPr>
            </w:pPr>
            <w:r>
              <w:rPr>
                <w:rFonts w:eastAsia="Calibri" w:ascii="Arial" w:hAnsi="Arial"/>
                <w:kern w:val="0"/>
                <w:sz w:val="20"/>
                <w:szCs w:val="20"/>
                <w:lang w:val="en-US" w:eastAsia="en-US" w:bidi="ar-SA"/>
              </w:rPr>
              <w:t xml:space="preserve">sprendimą. </w:t>
            </w:r>
            <w:r>
              <w:rPr>
                <w:rFonts w:eastAsia="Calibri" w:cs="Arial" w:ascii="Arial" w:hAnsi="Arial"/>
                <w:kern w:val="0"/>
                <w:sz w:val="20"/>
                <w:szCs w:val="20"/>
                <w:lang w:val="lt-LT" w:eastAsia="en-US" w:bidi="ar-SA"/>
              </w:rPr>
              <w:t>Gaminys pagamintas pagal ES naujausius gamtos tausojimo ir ekologijos standartus bei reikalavimus, šitam gaminiui pagaminti buvo perdirbta ir panaudota net 48,23% perdirbtų medžiagų kas padėjo išvengti didelio (CO</w:t>
            </w:r>
            <w:r>
              <w:rPr>
                <w:rFonts w:eastAsia="Calibri" w:cs="Cambria Math" w:ascii="Cambria Math" w:hAnsi="Cambria Math"/>
                <w:kern w:val="0"/>
                <w:sz w:val="20"/>
                <w:szCs w:val="20"/>
                <w:lang w:val="lt-LT" w:eastAsia="en-US" w:bidi="ar-SA"/>
              </w:rPr>
              <w:t>₂</w:t>
            </w:r>
            <w:r>
              <w:rPr>
                <w:rFonts w:eastAsia="Calibri" w:cs="Arial" w:ascii="Arial" w:hAnsi="Arial"/>
                <w:kern w:val="0"/>
                <w:sz w:val="20"/>
                <w:szCs w:val="20"/>
                <w:lang w:val="lt-LT" w:eastAsia="en-US" w:bidi="ar-SA"/>
              </w:rPr>
              <w:t xml:space="preserve">) išmetimo. </w:t>
            </w:r>
            <w:r>
              <w:rPr>
                <w:rFonts w:eastAsia="Calibri" w:ascii="Arial" w:hAnsi="Arial"/>
                <w:kern w:val="0"/>
                <w:sz w:val="20"/>
                <w:szCs w:val="20"/>
                <w:lang w:val="lt-LT" w:eastAsia="en-US" w:bidi="ar-SA"/>
              </w:rPr>
              <w:t>Garantijos: karštai cinkuotas plienas ir EcoCore polietilenas - amžina; spyruoklė- 5 metai, atsarginių detalių garantija - 10 metų. Gaminys turi TUV sertifikatą pagal EN1176-1.</w:t>
            </w:r>
          </w:p>
        </w:tc>
      </w:tr>
      <w:tr>
        <w:trPr>
          <w:trHeight w:val="3693" w:hRule="atLeast"/>
          <w:cantSplit w:val="true"/>
        </w:trPr>
        <w:tc>
          <w:tcPr>
            <w:tcW w:w="1120" w:type="dxa"/>
            <w:tcBorders>
              <w:top w:val="nil"/>
            </w:tcBorders>
            <w:vAlign w:val="center"/>
          </w:tcPr>
          <w:p>
            <w:pPr>
              <w:pStyle w:val="Normal"/>
              <w:widowControl/>
              <w:suppressAutoHyphens w:val="true"/>
              <w:spacing w:before="0" w:after="0"/>
              <w:jc w:val="center"/>
              <w:rPr>
                <w:rFonts w:eastAsia="Calibri"/>
                <w:kern w:val="0"/>
                <w:lang w:val="en-US" w:eastAsia="en-US" w:bidi="ar-SA"/>
              </w:rPr>
            </w:pPr>
            <w:r>
              <w:rPr>
                <w:rFonts w:eastAsia="Calibri" w:ascii="Arial" w:hAnsi="Arial"/>
                <w:kern w:val="0"/>
                <w:sz w:val="20"/>
                <w:szCs w:val="20"/>
                <w:lang w:val="en-US" w:eastAsia="en-US" w:bidi="ar-SA"/>
              </w:rPr>
              <w:t>ŽA14</w:t>
            </w:r>
          </w:p>
        </w:tc>
        <w:tc>
          <w:tcPr>
            <w:tcW w:w="3595" w:type="dxa"/>
            <w:tcBorders>
              <w:top w:val="nil"/>
            </w:tcBorders>
            <w:vAlign w:val="center"/>
          </w:tcPr>
          <w:p>
            <w:pPr>
              <w:pStyle w:val="Normal"/>
              <w:widowControl/>
              <w:suppressAutoHyphens w:val="true"/>
              <w:spacing w:before="0" w:after="0"/>
              <w:jc w:val="left"/>
              <w:rPr>
                <w:rFonts w:ascii="Arial" w:hAnsi="Arial"/>
                <w:b/>
                <w:bCs/>
                <w:sz w:val="20"/>
                <w:szCs w:val="20"/>
              </w:rPr>
            </w:pPr>
            <w:r>
              <w:rPr/>
              <w:drawing>
                <wp:inline distT="0" distB="0" distL="0" distR="0">
                  <wp:extent cx="2138680" cy="1803400"/>
                  <wp:effectExtent l="0" t="0" r="0" b="0"/>
                  <wp:docPr id="76" name="Paveikslėlis 10" descr="Foot Print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aveikslėlis 10" descr="Foot Print (image)"/>
                          <pic:cNvPicPr>
                            <a:picLocks noChangeAspect="1" noChangeArrowheads="1"/>
                          </pic:cNvPicPr>
                        </pic:nvPicPr>
                        <pic:blipFill>
                          <a:blip r:embed="rId78"/>
                          <a:srcRect l="0" t="0" r="11055" b="0"/>
                          <a:stretch>
                            <a:fillRect/>
                          </a:stretch>
                        </pic:blipFill>
                        <pic:spPr bwMode="auto">
                          <a:xfrm>
                            <a:off x="0" y="0"/>
                            <a:ext cx="2138680" cy="1803400"/>
                          </a:xfrm>
                          <a:prstGeom prst="rect">
                            <a:avLst/>
                          </a:prstGeom>
                          <a:noFill/>
                        </pic:spPr>
                      </pic:pic>
                    </a:graphicData>
                  </a:graphic>
                </wp:inline>
              </w:drawing>
              <w:drawing>
                <wp:anchor behindDoc="0" distT="0" distB="0" distL="0" distR="0" simplePos="0" locked="0" layoutInCell="1" allowOverlap="1" relativeHeight="212">
                  <wp:simplePos x="0" y="0"/>
                  <wp:positionH relativeFrom="column">
                    <wp:align>center</wp:align>
                  </wp:positionH>
                  <wp:positionV relativeFrom="paragraph">
                    <wp:posOffset>635</wp:posOffset>
                  </wp:positionV>
                  <wp:extent cx="2150110" cy="1850390"/>
                  <wp:effectExtent l="0" t="0" r="0" b="0"/>
                  <wp:wrapSquare wrapText="largest"/>
                  <wp:docPr id="77" name="Image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age36"/>
                          <pic:cNvPicPr>
                            <a:picLocks noChangeAspect="1" noChangeArrowheads="1"/>
                          </pic:cNvPicPr>
                        </pic:nvPicPr>
                        <pic:blipFill>
                          <a:blip r:embed="rId79"/>
                          <a:stretch>
                            <a:fillRect/>
                          </a:stretch>
                        </pic:blipFill>
                        <pic:spPr bwMode="auto">
                          <a:xfrm>
                            <a:off x="0" y="0"/>
                            <a:ext cx="2150110" cy="1850390"/>
                          </a:xfrm>
                          <a:prstGeom prst="rect">
                            <a:avLst/>
                          </a:prstGeom>
                          <a:noFill/>
                        </pic:spPr>
                      </pic:pic>
                    </a:graphicData>
                  </a:graphic>
                </wp:anchor>
              </w:drawing>
            </w:r>
          </w:p>
        </w:tc>
        <w:tc>
          <w:tcPr>
            <w:tcW w:w="5545" w:type="dxa"/>
            <w:tcBorders>
              <w:top w:val="nil"/>
            </w:tcBorders>
          </w:tcPr>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Objektas: </w:t>
            </w:r>
            <w:r>
              <w:rPr>
                <w:rFonts w:eastAsia="Calibri" w:ascii="Arial" w:hAnsi="Arial"/>
                <w:kern w:val="0"/>
                <w:sz w:val="20"/>
                <w:szCs w:val="20"/>
                <w:lang w:val="en-US" w:eastAsia="en-US" w:bidi="ar-SA"/>
              </w:rPr>
              <w:t>Vaikų žaidimų įrenginys ŽA14</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Matmenys:</w:t>
            </w:r>
            <w:r>
              <w:rPr>
                <w:rFonts w:eastAsia="Calibri" w:ascii="Arial" w:hAnsi="Arial"/>
                <w:kern w:val="0"/>
                <w:sz w:val="20"/>
                <w:szCs w:val="20"/>
                <w:lang w:val="en-US" w:eastAsia="en-US" w:bidi="ar-SA"/>
              </w:rPr>
              <w:t>40x65x81 cm</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Amžiaus grupė: </w:t>
            </w:r>
            <w:r>
              <w:rPr>
                <w:rFonts w:eastAsia="Calibri" w:ascii="Arial" w:hAnsi="Arial"/>
                <w:kern w:val="0"/>
                <w:sz w:val="20"/>
                <w:szCs w:val="20"/>
                <w:lang w:val="en-US" w:eastAsia="en-US" w:bidi="ar-SA"/>
              </w:rPr>
              <w:t>1+</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Maksimalus galimas kritimo aukštis: </w:t>
            </w:r>
            <w:r>
              <w:rPr>
                <w:rFonts w:eastAsia="Calibri" w:ascii="Arial" w:hAnsi="Arial"/>
                <w:kern w:val="0"/>
                <w:sz w:val="20"/>
                <w:szCs w:val="20"/>
                <w:lang w:val="en-US" w:eastAsia="en-US" w:bidi="ar-SA"/>
              </w:rPr>
              <w:t>60 cm</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Saugumo zona: </w:t>
            </w:r>
            <w:r>
              <w:rPr>
                <w:rFonts w:eastAsia="Calibri" w:ascii="Arial" w:hAnsi="Arial"/>
                <w:kern w:val="0"/>
                <w:sz w:val="20"/>
                <w:szCs w:val="20"/>
                <w:lang w:val="en-US" w:eastAsia="en-US" w:bidi="ar-SA"/>
              </w:rPr>
              <w:t>7,5 m</w:t>
            </w:r>
            <w:r>
              <w:rPr>
                <w:rFonts w:eastAsia="Calibri" w:ascii="Arial" w:hAnsi="Arial"/>
                <w:kern w:val="0"/>
                <w:sz w:val="20"/>
                <w:szCs w:val="20"/>
                <w:vertAlign w:val="superscript"/>
                <w:lang w:val="en-US" w:eastAsia="en-US" w:bidi="ar-SA"/>
              </w:rPr>
              <w:t>2</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Aprašas:  </w:t>
            </w:r>
            <w:r>
              <w:rPr>
                <w:rFonts w:eastAsia="Calibri" w:ascii="Arial" w:hAnsi="Arial"/>
                <w:kern w:val="0"/>
                <w:sz w:val="20"/>
                <w:szCs w:val="20"/>
                <w:lang w:val="en-US" w:eastAsia="en-US" w:bidi="ar-SA"/>
              </w:rPr>
              <w:t xml:space="preserve">Spyruoklinė supynė mažamečiams – gorila. Supynė susideda iš panelės pagamintos iš nemažiau 19 mm storio EcoCore polietileno </w:t>
            </w:r>
            <w:r>
              <w:rPr>
                <w:rStyle w:val="Strong"/>
                <w:rFonts w:eastAsia="Calibri" w:ascii="Arial" w:hAnsi="Arial"/>
                <w:b w:val="false"/>
                <w:bCs w:val="false"/>
                <w:kern w:val="0"/>
                <w:sz w:val="20"/>
                <w:szCs w:val="20"/>
                <w:lang w:val="en-US" w:eastAsia="en-US" w:bidi="ar-SA"/>
              </w:rPr>
              <w:t>plokštės. Plokštė yra</w:t>
            </w:r>
            <w:r>
              <w:rPr>
                <w:rFonts w:eastAsia="Calibri" w:ascii="Arial" w:hAnsi="Arial"/>
                <w:kern w:val="0"/>
                <w:sz w:val="20"/>
                <w:szCs w:val="20"/>
                <w:lang w:val="en-US" w:eastAsia="en-US" w:bidi="ar-SA"/>
              </w:rPr>
              <w:t xml:space="preserve"> perdirbama po naudojimo, o pagaminta iš 95 % perdirbtų maisto pakuočių atliekų.</w:t>
            </w:r>
            <w:r>
              <w:rPr>
                <w:rFonts w:eastAsia="Calibri"/>
                <w:kern w:val="0"/>
                <w:sz w:val="22"/>
                <w:lang w:val="en-US" w:eastAsia="en-US" w:bidi="ar-SA"/>
              </w:rPr>
              <w:t xml:space="preserve"> </w:t>
            </w:r>
            <w:r>
              <w:rPr>
                <w:rFonts w:eastAsia="Calibri" w:ascii="Arial" w:hAnsi="Arial"/>
                <w:kern w:val="0"/>
                <w:sz w:val="20"/>
                <w:szCs w:val="20"/>
                <w:lang w:val="en-US" w:eastAsia="en-US" w:bidi="ar-SA"/>
              </w:rPr>
              <w:t xml:space="preserve">Spyruoklės pagamintos iš aukštos kokybės nemažiau </w:t>
            </w:r>
            <w:r>
              <w:rPr>
                <w:rFonts w:eastAsia="Times New Roman" w:cs="Arial" w:ascii="Arial" w:hAnsi="Arial"/>
                <w:kern w:val="0"/>
                <w:sz w:val="20"/>
                <w:szCs w:val="20"/>
                <w:lang w:val="en-US" w:eastAsia="en-US" w:bidi="ar-SA"/>
              </w:rPr>
              <w:t>ø</w:t>
            </w:r>
            <w:r>
              <w:rPr>
                <w:rFonts w:eastAsia="Calibri" w:ascii="Arial" w:hAnsi="Arial"/>
                <w:kern w:val="0"/>
                <w:sz w:val="20"/>
                <w:szCs w:val="20"/>
                <w:lang w:val="en-US" w:eastAsia="en-US" w:bidi="ar-SA"/>
              </w:rPr>
              <w:t>18 cm diametro spyruoklinio plieno pagal EN10270 standartą.</w:t>
            </w:r>
            <w:r>
              <w:rPr>
                <w:rFonts w:eastAsia="Calibri"/>
                <w:kern w:val="0"/>
                <w:sz w:val="22"/>
                <w:lang w:val="en-US" w:eastAsia="en-US" w:bidi="ar-SA"/>
              </w:rPr>
              <w:t xml:space="preserve"> </w:t>
            </w:r>
            <w:r>
              <w:rPr>
                <w:rFonts w:eastAsia="Calibri" w:ascii="Arial" w:hAnsi="Arial"/>
                <w:kern w:val="0"/>
                <w:sz w:val="20"/>
                <w:szCs w:val="20"/>
                <w:lang w:val="en-US" w:eastAsia="en-US" w:bidi="ar-SA"/>
              </w:rPr>
              <w:t>Spyruoklės tvirtinamos unikaliomis apsaugos nuo suspaudimo detalėmis, užtikrinančiomis maksimalų saugumą ir ilgaamžiškumą.</w:t>
            </w:r>
            <w:r>
              <w:rPr>
                <w:rFonts w:eastAsia="Calibri"/>
                <w:kern w:val="0"/>
                <w:sz w:val="22"/>
                <w:lang w:val="en-US" w:eastAsia="en-US" w:bidi="ar-SA"/>
              </w:rPr>
              <w:t xml:space="preserve"> </w:t>
            </w:r>
            <w:r>
              <w:rPr>
                <w:rFonts w:eastAsia="Calibri" w:ascii="Arial" w:hAnsi="Arial"/>
                <w:kern w:val="0"/>
                <w:sz w:val="20"/>
                <w:szCs w:val="20"/>
                <w:lang w:val="en-US" w:eastAsia="en-US" w:bidi="ar-SA"/>
              </w:rPr>
              <w:t>Rankena pagaminta iš polipropileno (PP), kuris pasižymi puikiu astparumu smūgiams ir gali būti naudojamas plačiame temperatūrų diapazone.</w:t>
            </w:r>
            <w:r>
              <w:rPr>
                <w:rFonts w:eastAsia="Calibri"/>
                <w:kern w:val="0"/>
                <w:sz w:val="22"/>
                <w:lang w:val="en-US" w:eastAsia="en-US" w:bidi="ar-SA"/>
              </w:rPr>
              <w:t xml:space="preserve"> </w:t>
            </w:r>
            <w:r>
              <w:rPr>
                <w:rFonts w:eastAsia="Calibri" w:ascii="Arial" w:hAnsi="Arial"/>
                <w:kern w:val="0"/>
                <w:sz w:val="20"/>
                <w:szCs w:val="20"/>
                <w:lang w:val="en-US" w:eastAsia="en-US" w:bidi="ar-SA"/>
              </w:rPr>
              <w:t xml:space="preserve">Sėdynė pagaminta iš Ekogrip™“ plokštės, kuri susideda iš  nemažiau 15 mm storio polietileno pagrindo ir 3 mm storio viršutinio gumos sluoksnio su neslystančiu paviršiumi. </w:t>
            </w:r>
            <w:r>
              <w:rPr>
                <w:rFonts w:eastAsia="Calibri" w:cs="Arial" w:ascii="Arial" w:hAnsi="Arial"/>
                <w:kern w:val="0"/>
                <w:sz w:val="20"/>
                <w:szCs w:val="20"/>
                <w:lang w:val="lt-LT" w:eastAsia="en-US" w:bidi="ar-SA"/>
              </w:rPr>
              <w:t>Gaminys pagamintas pagal ES naujausius gamtos tausojimo ir ekologijos standartus bei reikalavimus, šitam gaminiui pagaminti buvo perdirbta ir panaudota net 57,16% perdirbtų medžiagų kas padėjo išvengti didelio (CO</w:t>
            </w:r>
            <w:r>
              <w:rPr>
                <w:rFonts w:eastAsia="Calibri" w:cs="Cambria Math" w:ascii="Cambria Math" w:hAnsi="Cambria Math"/>
                <w:kern w:val="0"/>
                <w:sz w:val="20"/>
                <w:szCs w:val="20"/>
                <w:lang w:val="lt-LT" w:eastAsia="en-US" w:bidi="ar-SA"/>
              </w:rPr>
              <w:t>₂</w:t>
            </w:r>
            <w:r>
              <w:rPr>
                <w:rFonts w:eastAsia="Calibri" w:cs="Arial" w:ascii="Arial" w:hAnsi="Arial"/>
                <w:kern w:val="0"/>
                <w:sz w:val="20"/>
                <w:szCs w:val="20"/>
                <w:lang w:val="lt-LT" w:eastAsia="en-US" w:bidi="ar-SA"/>
              </w:rPr>
              <w:t xml:space="preserve">) išmetimo. </w:t>
            </w:r>
            <w:r>
              <w:rPr>
                <w:rFonts w:eastAsia="Calibri" w:ascii="Arial" w:hAnsi="Arial"/>
                <w:kern w:val="0"/>
                <w:sz w:val="20"/>
                <w:szCs w:val="20"/>
                <w:lang w:val="lt-LT" w:eastAsia="en-US" w:bidi="ar-SA"/>
              </w:rPr>
              <w:t>Garantijos: karštai cinkuotas plienas ir EcoCore polietilenas - amžina; spyruoklė- 5 metai, atsarginių detalių garantija - 10 metų. Gaminys turi TUV sertifikatą pagal EN1176-1.</w:t>
            </w:r>
          </w:p>
        </w:tc>
      </w:tr>
      <w:tr>
        <w:trPr>
          <w:trHeight w:val="3693" w:hRule="atLeast"/>
          <w:cantSplit w:val="true"/>
        </w:trPr>
        <w:tc>
          <w:tcPr>
            <w:tcW w:w="1120" w:type="dxa"/>
            <w:tcBorders>
              <w:top w:val="nil"/>
            </w:tcBorders>
            <w:vAlign w:val="center"/>
          </w:tcPr>
          <w:p>
            <w:pPr>
              <w:pStyle w:val="Normal"/>
              <w:widowControl/>
              <w:suppressAutoHyphens w:val="true"/>
              <w:spacing w:before="0" w:after="0"/>
              <w:jc w:val="center"/>
              <w:rPr>
                <w:rFonts w:eastAsia="Calibri"/>
                <w:kern w:val="0"/>
                <w:lang w:val="en-US" w:eastAsia="en-US" w:bidi="ar-SA"/>
              </w:rPr>
            </w:pPr>
            <w:r>
              <w:rPr>
                <w:rFonts w:eastAsia="Calibri" w:ascii="Arial" w:hAnsi="Arial"/>
                <w:kern w:val="0"/>
                <w:sz w:val="20"/>
                <w:szCs w:val="20"/>
                <w:lang w:val="en-US" w:eastAsia="en-US" w:bidi="ar-SA"/>
              </w:rPr>
              <w:t>ŽA15</w:t>
            </w:r>
          </w:p>
        </w:tc>
        <w:tc>
          <w:tcPr>
            <w:tcW w:w="3595" w:type="dxa"/>
            <w:tcBorders>
              <w:top w:val="nil"/>
            </w:tcBorders>
            <w:vAlign w:val="center"/>
          </w:tcPr>
          <w:p>
            <w:pPr>
              <w:pStyle w:val="Normal"/>
              <w:widowControl/>
              <w:suppressAutoHyphens w:val="true"/>
              <w:spacing w:before="0" w:after="0"/>
              <w:jc w:val="left"/>
              <w:rPr>
                <w:rFonts w:ascii="Arial" w:hAnsi="Arial"/>
                <w:b/>
                <w:bCs/>
                <w:sz w:val="20"/>
                <w:szCs w:val="20"/>
              </w:rPr>
            </w:pPr>
            <w:r>
              <w:rPr>
                <w:rFonts w:ascii="Arial" w:hAnsi="Arial"/>
                <w:b/>
                <w:bCs/>
                <w:sz w:val="20"/>
                <w:szCs w:val="20"/>
              </w:rPr>
              <w:drawing>
                <wp:anchor behindDoc="0" distT="0" distB="0" distL="0" distR="0" simplePos="0" locked="0" layoutInCell="1" allowOverlap="1" relativeHeight="213">
                  <wp:simplePos x="0" y="0"/>
                  <wp:positionH relativeFrom="column">
                    <wp:posOffset>-10795</wp:posOffset>
                  </wp:positionH>
                  <wp:positionV relativeFrom="paragraph">
                    <wp:posOffset>956310</wp:posOffset>
                  </wp:positionV>
                  <wp:extent cx="2150110" cy="1012190"/>
                  <wp:effectExtent l="0" t="0" r="0" b="0"/>
                  <wp:wrapSquare wrapText="largest"/>
                  <wp:docPr id="78" name="Image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37"/>
                          <pic:cNvPicPr>
                            <a:picLocks noChangeAspect="1" noChangeArrowheads="1"/>
                          </pic:cNvPicPr>
                        </pic:nvPicPr>
                        <pic:blipFill>
                          <a:blip r:embed="rId80"/>
                          <a:stretch>
                            <a:fillRect/>
                          </a:stretch>
                        </pic:blipFill>
                        <pic:spPr bwMode="auto">
                          <a:xfrm>
                            <a:off x="0" y="0"/>
                            <a:ext cx="2150110" cy="1012190"/>
                          </a:xfrm>
                          <a:prstGeom prst="rect">
                            <a:avLst/>
                          </a:prstGeom>
                          <a:noFill/>
                        </pic:spPr>
                      </pic:pic>
                    </a:graphicData>
                  </a:graphic>
                </wp:anchor>
              </w:drawing>
            </w:r>
          </w:p>
          <w:p>
            <w:pPr>
              <w:pStyle w:val="Normal"/>
              <w:widowControl/>
              <w:suppressAutoHyphens w:val="true"/>
              <w:spacing w:before="0" w:after="200"/>
              <w:jc w:val="left"/>
              <w:rPr>
                <w:rFonts w:ascii="Arial" w:hAnsi="Arial"/>
                <w:sz w:val="20"/>
                <w:szCs w:val="20"/>
              </w:rPr>
            </w:pPr>
            <w:r>
              <w:rPr>
                <w:rFonts w:ascii="Arial" w:hAnsi="Arial"/>
                <w:sz w:val="20"/>
                <w:szCs w:val="20"/>
              </w:rPr>
            </w:r>
          </w:p>
          <w:p>
            <w:pPr>
              <w:pStyle w:val="Normal"/>
              <w:widowControl/>
              <w:suppressAutoHyphens w:val="true"/>
              <w:spacing w:before="0" w:after="200"/>
              <w:jc w:val="left"/>
              <w:rPr>
                <w:rFonts w:ascii="Arial" w:hAnsi="Arial"/>
                <w:sz w:val="20"/>
                <w:szCs w:val="20"/>
              </w:rPr>
            </w:pPr>
            <w:r>
              <w:rPr>
                <w:rFonts w:ascii="Arial" w:hAnsi="Arial"/>
                <w:sz w:val="20"/>
                <w:szCs w:val="20"/>
              </w:rPr>
            </w:r>
          </w:p>
          <w:p>
            <w:pPr>
              <w:pStyle w:val="Normal"/>
              <w:widowControl/>
              <w:suppressAutoHyphens w:val="true"/>
              <w:spacing w:before="0" w:after="200"/>
              <w:jc w:val="left"/>
              <w:rPr>
                <w:rFonts w:ascii="Arial" w:hAnsi="Arial"/>
                <w:sz w:val="20"/>
                <w:szCs w:val="20"/>
              </w:rPr>
            </w:pPr>
            <w:r>
              <w:rPr>
                <w:rFonts w:ascii="Arial" w:hAnsi="Arial"/>
                <w:sz w:val="20"/>
                <w:szCs w:val="20"/>
              </w:rPr>
            </w:r>
          </w:p>
          <w:p>
            <w:pPr>
              <w:pStyle w:val="Normal"/>
              <w:widowControl/>
              <w:suppressAutoHyphens w:val="true"/>
              <w:spacing w:before="0" w:after="200"/>
              <w:jc w:val="left"/>
              <w:rPr>
                <w:rFonts w:ascii="Arial" w:hAnsi="Arial"/>
                <w:sz w:val="20"/>
                <w:szCs w:val="20"/>
              </w:rPr>
            </w:pPr>
            <w:r>
              <w:rPr/>
              <w:drawing>
                <wp:inline distT="0" distB="0" distL="0" distR="0">
                  <wp:extent cx="2145665" cy="657225"/>
                  <wp:effectExtent l="0" t="0" r="0" b="0"/>
                  <wp:docPr id="79" name="Paveikslėlis 9" descr="Side View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aveikslėlis 9" descr="Side View (image)"/>
                          <pic:cNvPicPr>
                            <a:picLocks noChangeAspect="1" noChangeArrowheads="1"/>
                          </pic:cNvPicPr>
                        </pic:nvPicPr>
                        <pic:blipFill>
                          <a:blip r:embed="rId81"/>
                          <a:stretch>
                            <a:fillRect/>
                          </a:stretch>
                        </pic:blipFill>
                        <pic:spPr bwMode="auto">
                          <a:xfrm>
                            <a:off x="0" y="0"/>
                            <a:ext cx="2145665" cy="657225"/>
                          </a:xfrm>
                          <a:prstGeom prst="rect">
                            <a:avLst/>
                          </a:prstGeom>
                          <a:noFill/>
                        </pic:spPr>
                      </pic:pic>
                    </a:graphicData>
                  </a:graphic>
                </wp:inline>
              </w:drawing>
            </w:r>
          </w:p>
          <w:p>
            <w:pPr>
              <w:pStyle w:val="Normal"/>
              <w:widowControl/>
              <w:suppressAutoHyphens w:val="true"/>
              <w:spacing w:before="0" w:after="200"/>
              <w:jc w:val="left"/>
              <w:rPr>
                <w:rFonts w:ascii="Arial" w:hAnsi="Arial"/>
                <w:sz w:val="20"/>
                <w:szCs w:val="20"/>
              </w:rPr>
            </w:pPr>
            <w:r>
              <w:rPr/>
              <w:drawing>
                <wp:inline distT="0" distB="0" distL="0" distR="0">
                  <wp:extent cx="2145665" cy="1609090"/>
                  <wp:effectExtent l="0" t="0" r="0" b="0"/>
                  <wp:docPr id="80" name="Paveikslėlis 8" descr="Foot Print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aveikslėlis 8" descr="Foot Print (image)"/>
                          <pic:cNvPicPr>
                            <a:picLocks noChangeAspect="1" noChangeArrowheads="1"/>
                          </pic:cNvPicPr>
                        </pic:nvPicPr>
                        <pic:blipFill>
                          <a:blip r:embed="rId82"/>
                          <a:stretch>
                            <a:fillRect/>
                          </a:stretch>
                        </pic:blipFill>
                        <pic:spPr bwMode="auto">
                          <a:xfrm>
                            <a:off x="0" y="0"/>
                            <a:ext cx="2145665" cy="1609090"/>
                          </a:xfrm>
                          <a:prstGeom prst="rect">
                            <a:avLst/>
                          </a:prstGeom>
                          <a:noFill/>
                        </pic:spPr>
                      </pic:pic>
                    </a:graphicData>
                  </a:graphic>
                </wp:inline>
              </w:drawing>
            </w:r>
          </w:p>
        </w:tc>
        <w:tc>
          <w:tcPr>
            <w:tcW w:w="5545" w:type="dxa"/>
            <w:tcBorders>
              <w:top w:val="nil"/>
            </w:tcBorders>
          </w:tcPr>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Objektas: </w:t>
            </w:r>
            <w:r>
              <w:rPr>
                <w:rFonts w:eastAsia="Calibri" w:ascii="Arial" w:hAnsi="Arial"/>
                <w:kern w:val="0"/>
                <w:sz w:val="20"/>
                <w:szCs w:val="20"/>
                <w:lang w:val="en-US" w:eastAsia="en-US" w:bidi="ar-SA"/>
              </w:rPr>
              <w:t>Vaikų žaidimų įrenginys ŽA15</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Matmenys: </w:t>
            </w:r>
            <w:r>
              <w:rPr>
                <w:rFonts w:eastAsia="Calibri" w:ascii="Arial" w:hAnsi="Arial"/>
                <w:kern w:val="0"/>
                <w:sz w:val="20"/>
                <w:szCs w:val="20"/>
                <w:lang w:val="en-US" w:eastAsia="en-US" w:bidi="ar-SA"/>
              </w:rPr>
              <w:t>595x246x300 cm</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Amžiaus grupė: 8</w:t>
            </w:r>
            <w:r>
              <w:rPr>
                <w:rFonts w:eastAsia="Calibri" w:ascii="Arial" w:hAnsi="Arial"/>
                <w:kern w:val="0"/>
                <w:sz w:val="20"/>
                <w:szCs w:val="20"/>
                <w:lang w:val="en-US" w:eastAsia="en-US" w:bidi="ar-SA"/>
              </w:rPr>
              <w:t>+</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Maksimalus galimas kritimo aukštis: </w:t>
            </w:r>
            <w:r>
              <w:rPr>
                <w:rFonts w:eastAsia="Calibri" w:ascii="Arial" w:hAnsi="Arial"/>
                <w:kern w:val="0"/>
                <w:sz w:val="20"/>
                <w:szCs w:val="20"/>
                <w:lang w:val="en-US" w:eastAsia="en-US" w:bidi="ar-SA"/>
              </w:rPr>
              <w:t>300 cm</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Saugumo zona: </w:t>
            </w:r>
            <w:r>
              <w:rPr>
                <w:rFonts w:eastAsia="Calibri" w:ascii="Arial" w:hAnsi="Arial"/>
                <w:kern w:val="0"/>
                <w:sz w:val="20"/>
                <w:szCs w:val="20"/>
                <w:lang w:val="en-US" w:eastAsia="en-US" w:bidi="ar-SA"/>
              </w:rPr>
              <w:t>50,7 m</w:t>
            </w:r>
            <w:r>
              <w:rPr>
                <w:rFonts w:eastAsia="Calibri" w:ascii="Arial" w:hAnsi="Arial"/>
                <w:kern w:val="0"/>
                <w:sz w:val="20"/>
                <w:szCs w:val="20"/>
                <w:vertAlign w:val="superscript"/>
                <w:lang w:val="en-US" w:eastAsia="en-US" w:bidi="ar-SA"/>
              </w:rPr>
              <w:t>2</w:t>
            </w:r>
          </w:p>
          <w:p>
            <w:pPr>
              <w:pStyle w:val="Normal"/>
              <w:widowControl/>
              <w:suppressAutoHyphens w:val="true"/>
              <w:spacing w:before="0" w:after="0"/>
              <w:jc w:val="both"/>
              <w:rPr>
                <w:rFonts w:ascii="Arial" w:hAnsi="Arial"/>
                <w:sz w:val="20"/>
                <w:szCs w:val="20"/>
                <w:lang w:val="lt-LT"/>
              </w:rPr>
            </w:pPr>
            <w:r>
              <w:rPr>
                <w:rFonts w:eastAsia="Calibri" w:ascii="Arial" w:hAnsi="Arial"/>
                <w:b/>
                <w:bCs/>
                <w:kern w:val="0"/>
                <w:sz w:val="20"/>
                <w:szCs w:val="20"/>
                <w:lang w:val="en-US" w:eastAsia="en-US" w:bidi="ar-SA"/>
              </w:rPr>
              <w:t xml:space="preserve">Aprašas: </w:t>
            </w:r>
            <w:r>
              <w:rPr>
                <w:rFonts w:eastAsia="Calibri" w:ascii="Arial" w:hAnsi="Arial"/>
                <w:kern w:val="0"/>
                <w:sz w:val="20"/>
                <w:szCs w:val="20"/>
                <w:lang w:val="lt-LT" w:eastAsia="en-US" w:bidi="ar-SA"/>
              </w:rPr>
              <w:t xml:space="preserve">Laipiojimo sistema, pagaminta iš dodekaedrų, sujungtų kubeliais. Kubas pagamintas iš 12 mm polipropileno plokščių, sujungtų aliuminio laikikliais. Visi paviršiai yra nuožulnūs. Aukštu slėgiu suformuotos PP laipiojimo plokštės, pasižyminčios dideliu atsparumu smūgiams ir tinkamos naudoti dideliame temperatūrų intervale. Skydai pagaminti iš 75 % po vartojimo perdirbtų medžiagų ir yra ryškių spalvų. Aukštos kokybės švino neturinčio aliuminio liejami kampiniai laikikliai, kurie turi gražiai suapvalintus kraštus ir įleistus nerūdijančio plieno varžtus. Laipiojimo rankenos sukurtos pagal profesionaliai suprojektuotas laipiojimo rankenas, kad būtų užtikrinta optimali žaidimo vertė. Kybių pagrindinė medžiaga - poliesteris. Yra dviejų spalvų (žalios ir juodos) laipiojimo rankenos ir po tris ant kiekvienos plokštės. Jos sukamos pritvirtintos plieniniu kaiščiu. Plieno paviršiai iš vidaus ir iš išorės karštai cinkuoti cinku be švino. Cinkavimas puikiai atsparus korozijai išorinėje aplinkoje ir nereikalauja daug priežiūros. </w:t>
            </w:r>
            <w:r>
              <w:rPr>
                <w:rFonts w:eastAsia="Times New Roman" w:cs="Arial" w:ascii="Arial" w:hAnsi="Arial"/>
                <w:kern w:val="0"/>
                <w:sz w:val="20"/>
                <w:szCs w:val="20"/>
                <w:lang w:val="en-US" w:eastAsia="en-US" w:bidi="ar-SA"/>
              </w:rPr>
              <w:t>Atraminiai stulpai yra pagaminti iš karštai cinkuotos konstrukcijos nemažiau Ø 48,3 x 3,2 mm ir 3 mm storio V formos plieninės plokštės.</w:t>
            </w:r>
            <w:r>
              <w:rPr>
                <w:rFonts w:eastAsia="Times New Roman" w:cs="Arial" w:ascii="Arial" w:hAnsi="Arial"/>
                <w:kern w:val="0"/>
                <w:sz w:val="22"/>
                <w:szCs w:val="22"/>
                <w:lang w:val="en-US" w:eastAsia="en-US" w:bidi="ar-SA"/>
              </w:rPr>
              <w:t xml:space="preserve"> </w:t>
            </w:r>
            <w:r>
              <w:rPr>
                <w:rFonts w:eastAsia="Calibri" w:ascii="Arial" w:hAnsi="Arial"/>
                <w:kern w:val="0"/>
                <w:sz w:val="20"/>
                <w:szCs w:val="20"/>
                <w:lang w:val="lt-LT" w:eastAsia="en-US" w:bidi="ar-SA"/>
              </w:rPr>
              <w:t xml:space="preserve">Kubelius palaiko unikali pagrindo sistema, kuri užtikrina teisingą kubelių padėtį. </w:t>
            </w:r>
            <w:r>
              <w:rPr>
                <w:rFonts w:eastAsia="Calibri" w:cs="Arial" w:ascii="Arial" w:hAnsi="Arial"/>
                <w:kern w:val="0"/>
                <w:sz w:val="20"/>
                <w:szCs w:val="20"/>
                <w:lang w:val="lt-LT" w:eastAsia="en-US" w:bidi="ar-SA"/>
              </w:rPr>
              <w:t>Gaminys pagamintas pagal ES naujausius gamtos tausojimo ir ekologijos standartus bei reikalavimus, šitam gaminiui pagaminti buvo perdirbta ir panaudota net 62,20% perdirbtų medžiagų kas padėjo išvengti didelio (CO</w:t>
            </w:r>
            <w:r>
              <w:rPr>
                <w:rFonts w:eastAsia="Calibri" w:cs="Cambria Math" w:ascii="Cambria Math" w:hAnsi="Cambria Math"/>
                <w:kern w:val="0"/>
                <w:sz w:val="20"/>
                <w:szCs w:val="20"/>
                <w:lang w:val="lt-LT" w:eastAsia="en-US" w:bidi="ar-SA"/>
              </w:rPr>
              <w:t>₂</w:t>
            </w:r>
            <w:r>
              <w:rPr>
                <w:rFonts w:eastAsia="Calibri" w:cs="Arial" w:ascii="Arial" w:hAnsi="Arial"/>
                <w:kern w:val="0"/>
                <w:sz w:val="20"/>
                <w:szCs w:val="20"/>
                <w:lang w:val="lt-LT" w:eastAsia="en-US" w:bidi="ar-SA"/>
              </w:rPr>
              <w:t xml:space="preserve">) išmetimo. </w:t>
            </w:r>
            <w:r>
              <w:rPr>
                <w:rFonts w:eastAsia="Calibri" w:ascii="Arial" w:hAnsi="Arial"/>
                <w:kern w:val="0"/>
                <w:sz w:val="20"/>
                <w:szCs w:val="20"/>
                <w:lang w:val="lt-LT" w:eastAsia="en-US" w:bidi="ar-SA"/>
              </w:rPr>
              <w:t xml:space="preserve"> Garantijos: kybiai, kampiniai laikikliai, panelių plokštės - 10 metų; karštai cinkuotas plienas- amžina. Gaminys turi TUV sertifikatą pagal EN1176-1.</w:t>
            </w:r>
          </w:p>
          <w:p>
            <w:pPr>
              <w:pStyle w:val="Normal"/>
              <w:widowControl/>
              <w:suppressAutoHyphens w:val="true"/>
              <w:spacing w:before="0" w:after="0"/>
              <w:jc w:val="both"/>
              <w:rPr>
                <w:rFonts w:eastAsia="Calibri"/>
                <w:kern w:val="0"/>
                <w:lang w:val="en-US" w:eastAsia="en-US" w:bidi="ar-SA"/>
              </w:rPr>
            </w:pPr>
            <w:r>
              <w:rPr>
                <w:rFonts w:eastAsia="Calibri"/>
                <w:kern w:val="0"/>
                <w:sz w:val="22"/>
                <w:lang w:val="en-US" w:eastAsia="en-US" w:bidi="ar-SA"/>
              </w:rPr>
            </w:r>
          </w:p>
        </w:tc>
      </w:tr>
      <w:tr>
        <w:trPr>
          <w:trHeight w:val="3693" w:hRule="atLeast"/>
          <w:cantSplit w:val="true"/>
        </w:trPr>
        <w:tc>
          <w:tcPr>
            <w:tcW w:w="1120" w:type="dxa"/>
            <w:tcBorders>
              <w:top w:val="nil"/>
            </w:tcBorders>
            <w:vAlign w:val="center"/>
          </w:tcPr>
          <w:p>
            <w:pPr>
              <w:pStyle w:val="Normal"/>
              <w:widowControl/>
              <w:suppressAutoHyphens w:val="true"/>
              <w:spacing w:before="0" w:after="0"/>
              <w:jc w:val="center"/>
              <w:rPr>
                <w:rFonts w:eastAsia="Calibri"/>
                <w:kern w:val="0"/>
                <w:lang w:val="en-US" w:eastAsia="en-US" w:bidi="ar-SA"/>
              </w:rPr>
            </w:pPr>
            <w:r>
              <w:rPr>
                <w:rFonts w:eastAsia="Calibri" w:ascii="Arial" w:hAnsi="Arial"/>
                <w:kern w:val="0"/>
                <w:sz w:val="20"/>
                <w:szCs w:val="20"/>
                <w:lang w:val="en-US" w:eastAsia="en-US" w:bidi="ar-SA"/>
              </w:rPr>
              <w:t>ŽA16</w:t>
            </w:r>
          </w:p>
        </w:tc>
        <w:tc>
          <w:tcPr>
            <w:tcW w:w="3595" w:type="dxa"/>
            <w:tcBorders>
              <w:top w:val="nil"/>
            </w:tcBorders>
            <w:vAlign w:val="center"/>
          </w:tcPr>
          <w:p>
            <w:pPr>
              <w:pStyle w:val="Normal"/>
              <w:widowControl/>
              <w:suppressAutoHyphens w:val="true"/>
              <w:spacing w:before="0" w:after="0"/>
              <w:jc w:val="left"/>
              <w:rPr>
                <w:rFonts w:ascii="Arial" w:hAnsi="Arial"/>
                <w:b/>
                <w:bCs/>
                <w:sz w:val="20"/>
                <w:szCs w:val="20"/>
              </w:rPr>
            </w:pPr>
            <w:r>
              <w:rPr>
                <w:rFonts w:ascii="Arial" w:hAnsi="Arial"/>
                <w:b/>
                <w:bCs/>
                <w:sz w:val="20"/>
                <w:szCs w:val="20"/>
              </w:rPr>
              <w:drawing>
                <wp:anchor behindDoc="0" distT="0" distB="0" distL="0" distR="0" simplePos="0" locked="0" layoutInCell="1" allowOverlap="1" relativeHeight="214">
                  <wp:simplePos x="0" y="0"/>
                  <wp:positionH relativeFrom="column">
                    <wp:posOffset>-25400</wp:posOffset>
                  </wp:positionH>
                  <wp:positionV relativeFrom="paragraph">
                    <wp:posOffset>709295</wp:posOffset>
                  </wp:positionV>
                  <wp:extent cx="2148840" cy="1271270"/>
                  <wp:effectExtent l="0" t="0" r="0" b="0"/>
                  <wp:wrapSquare wrapText="largest"/>
                  <wp:docPr id="81" name="Image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42"/>
                          <pic:cNvPicPr>
                            <a:picLocks noChangeAspect="1" noChangeArrowheads="1"/>
                          </pic:cNvPicPr>
                        </pic:nvPicPr>
                        <pic:blipFill>
                          <a:blip r:embed="rId83"/>
                          <a:stretch>
                            <a:fillRect/>
                          </a:stretch>
                        </pic:blipFill>
                        <pic:spPr bwMode="auto">
                          <a:xfrm>
                            <a:off x="0" y="0"/>
                            <a:ext cx="2148840" cy="1271270"/>
                          </a:xfrm>
                          <a:prstGeom prst="rect">
                            <a:avLst/>
                          </a:prstGeom>
                          <a:noFill/>
                        </pic:spPr>
                      </pic:pic>
                    </a:graphicData>
                  </a:graphic>
                </wp:anchor>
              </w:drawing>
            </w:r>
          </w:p>
          <w:p>
            <w:pPr>
              <w:pStyle w:val="Normal"/>
              <w:widowControl/>
              <w:suppressAutoHyphens w:val="true"/>
              <w:spacing w:before="0" w:after="200"/>
              <w:jc w:val="left"/>
              <w:rPr>
                <w:rFonts w:ascii="Arial" w:hAnsi="Arial"/>
                <w:sz w:val="20"/>
                <w:szCs w:val="20"/>
              </w:rPr>
            </w:pPr>
            <w:r>
              <w:rPr>
                <w:rFonts w:ascii="Arial" w:hAnsi="Arial"/>
                <w:sz w:val="20"/>
                <w:szCs w:val="20"/>
              </w:rPr>
            </w:r>
          </w:p>
          <w:p>
            <w:pPr>
              <w:pStyle w:val="Normal"/>
              <w:widowControl/>
              <w:suppressAutoHyphens w:val="true"/>
              <w:spacing w:before="0" w:after="200"/>
              <w:jc w:val="left"/>
              <w:rPr>
                <w:rFonts w:ascii="Arial" w:hAnsi="Arial"/>
                <w:sz w:val="20"/>
                <w:szCs w:val="20"/>
              </w:rPr>
            </w:pPr>
            <w:r>
              <w:rPr>
                <w:rFonts w:ascii="Arial" w:hAnsi="Arial"/>
                <w:sz w:val="20"/>
                <w:szCs w:val="20"/>
              </w:rPr>
            </w:r>
          </w:p>
          <w:p>
            <w:pPr>
              <w:pStyle w:val="Normal"/>
              <w:widowControl/>
              <w:suppressAutoHyphens w:val="true"/>
              <w:spacing w:before="0" w:after="200"/>
              <w:jc w:val="left"/>
              <w:rPr>
                <w:rFonts w:ascii="Arial" w:hAnsi="Arial"/>
                <w:sz w:val="20"/>
                <w:szCs w:val="20"/>
              </w:rPr>
            </w:pPr>
            <w:r>
              <w:rPr>
                <w:rFonts w:ascii="Arial" w:hAnsi="Arial"/>
                <w:sz w:val="20"/>
                <w:szCs w:val="20"/>
              </w:rPr>
            </w:r>
          </w:p>
          <w:p>
            <w:pPr>
              <w:pStyle w:val="Normal"/>
              <w:widowControl/>
              <w:suppressAutoHyphens w:val="true"/>
              <w:spacing w:before="0" w:after="200"/>
              <w:jc w:val="left"/>
              <w:rPr>
                <w:rFonts w:ascii="Arial" w:hAnsi="Arial"/>
                <w:sz w:val="20"/>
                <w:szCs w:val="20"/>
              </w:rPr>
            </w:pPr>
            <w:r>
              <w:rPr/>
              <w:drawing>
                <wp:inline distT="0" distB="0" distL="0" distR="0">
                  <wp:extent cx="2145665" cy="1301750"/>
                  <wp:effectExtent l="0" t="0" r="0" b="0"/>
                  <wp:docPr id="82" name="Image5 Copy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5 Copy 3"/>
                          <pic:cNvPicPr>
                            <a:picLocks noChangeAspect="1" noChangeArrowheads="1"/>
                          </pic:cNvPicPr>
                        </pic:nvPicPr>
                        <pic:blipFill>
                          <a:blip r:embed="rId84"/>
                          <a:stretch>
                            <a:fillRect/>
                          </a:stretch>
                        </pic:blipFill>
                        <pic:spPr bwMode="auto">
                          <a:xfrm>
                            <a:off x="0" y="0"/>
                            <a:ext cx="2145665" cy="1301750"/>
                          </a:xfrm>
                          <a:prstGeom prst="rect">
                            <a:avLst/>
                          </a:prstGeom>
                          <a:noFill/>
                        </pic:spPr>
                      </pic:pic>
                    </a:graphicData>
                  </a:graphic>
                </wp:inline>
              </w:drawing>
            </w:r>
          </w:p>
          <w:p>
            <w:pPr>
              <w:pStyle w:val="Normal"/>
              <w:widowControl/>
              <w:suppressAutoHyphens w:val="true"/>
              <w:spacing w:before="0" w:after="200"/>
              <w:jc w:val="left"/>
              <w:rPr>
                <w:rFonts w:ascii="Arial" w:hAnsi="Arial"/>
                <w:sz w:val="20"/>
                <w:szCs w:val="20"/>
              </w:rPr>
            </w:pPr>
            <w:r>
              <w:rPr>
                <w:rFonts w:ascii="Arial" w:hAnsi="Arial"/>
                <w:sz w:val="20"/>
                <w:szCs w:val="20"/>
              </w:rPr>
            </w:r>
          </w:p>
        </w:tc>
        <w:tc>
          <w:tcPr>
            <w:tcW w:w="5545" w:type="dxa"/>
            <w:tcBorders>
              <w:top w:val="nil"/>
            </w:tcBorders>
          </w:tcPr>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Objektas: </w:t>
            </w:r>
            <w:r>
              <w:rPr>
                <w:rFonts w:eastAsia="Calibri" w:ascii="Arial" w:hAnsi="Arial"/>
                <w:kern w:val="0"/>
                <w:sz w:val="20"/>
                <w:szCs w:val="20"/>
                <w:lang w:val="en-US" w:eastAsia="en-US" w:bidi="ar-SA"/>
              </w:rPr>
              <w:t>Vaikų žaidimų įrenginys ŽA16</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Matmenys:</w:t>
            </w:r>
            <w:r>
              <w:rPr>
                <w:rFonts w:eastAsia="Calibri" w:ascii="Arial" w:hAnsi="Arial"/>
                <w:kern w:val="0"/>
                <w:sz w:val="20"/>
                <w:szCs w:val="20"/>
                <w:lang w:val="en-US" w:eastAsia="en-US" w:bidi="ar-SA"/>
              </w:rPr>
              <w:t>712x302x265 cm</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Amžiaus grupė: 6</w:t>
            </w:r>
            <w:r>
              <w:rPr>
                <w:rFonts w:eastAsia="Calibri" w:ascii="Arial" w:hAnsi="Arial"/>
                <w:kern w:val="0"/>
                <w:sz w:val="20"/>
                <w:szCs w:val="20"/>
                <w:lang w:val="en-US" w:eastAsia="en-US" w:bidi="ar-SA"/>
              </w:rPr>
              <w:t>+</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Maksimalus galimas kritimo aukštis: </w:t>
            </w:r>
            <w:r>
              <w:rPr>
                <w:rFonts w:eastAsia="Calibri" w:ascii="Arial" w:hAnsi="Arial"/>
                <w:kern w:val="0"/>
                <w:sz w:val="20"/>
                <w:szCs w:val="20"/>
                <w:lang w:val="en-US" w:eastAsia="en-US" w:bidi="ar-SA"/>
              </w:rPr>
              <w:t>257 cm</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Saugumo zona: </w:t>
            </w:r>
            <w:r>
              <w:rPr>
                <w:rFonts w:eastAsia="Calibri" w:ascii="Arial" w:hAnsi="Arial"/>
                <w:kern w:val="0"/>
                <w:sz w:val="20"/>
                <w:szCs w:val="20"/>
                <w:lang w:val="en-US" w:eastAsia="en-US" w:bidi="ar-SA"/>
              </w:rPr>
              <w:t>46,2 m</w:t>
            </w:r>
            <w:r>
              <w:rPr>
                <w:rFonts w:eastAsia="Calibri" w:ascii="Arial" w:hAnsi="Arial"/>
                <w:kern w:val="0"/>
                <w:sz w:val="20"/>
                <w:szCs w:val="20"/>
                <w:vertAlign w:val="superscript"/>
                <w:lang w:val="en-US" w:eastAsia="en-US" w:bidi="ar-SA"/>
              </w:rPr>
              <w:t>2</w:t>
            </w:r>
          </w:p>
          <w:p>
            <w:pPr>
              <w:pStyle w:val="Normal"/>
              <w:widowControl/>
              <w:suppressAutoHyphens w:val="true"/>
              <w:spacing w:before="0" w:after="0"/>
              <w:jc w:val="both"/>
              <w:rPr>
                <w:rFonts w:ascii="Arial" w:hAnsi="Arial"/>
                <w:sz w:val="20"/>
                <w:szCs w:val="20"/>
                <w:lang w:val="lt-LT"/>
              </w:rPr>
            </w:pPr>
            <w:r>
              <w:rPr>
                <w:rFonts w:eastAsia="Calibri" w:ascii="Arial" w:hAnsi="Arial"/>
                <w:b/>
                <w:bCs/>
                <w:kern w:val="0"/>
                <w:sz w:val="20"/>
                <w:szCs w:val="20"/>
                <w:lang w:val="en-US" w:eastAsia="en-US" w:bidi="ar-SA"/>
              </w:rPr>
              <w:t xml:space="preserve">Aprašas: </w:t>
            </w:r>
            <w:r>
              <w:rPr>
                <w:rFonts w:eastAsia="Calibri" w:ascii="Arial" w:hAnsi="Arial"/>
                <w:kern w:val="0"/>
                <w:sz w:val="20"/>
                <w:szCs w:val="20"/>
                <w:lang w:val="lt-LT" w:eastAsia="en-US" w:bidi="ar-SA"/>
              </w:rPr>
              <w:t xml:space="preserve">Gaminį sudaro lenktos laipiojimo sienos, virvinių kopečių, žaidimų kėdutės, laipiojimo trikampio ir įvairių karstynių. Gaminys skatina vaikų koordinaciją, balansą, stiprina raumenis. Gaminys pagamintas iš viduje ir išorėje karštai cinkuotų vamzdžių, kurių diametras nemažiau 101,6 x 2,9 mm ir 38 x 4 mm sugriebiamųjų strypų, jungiamieji rutuliai gaminami iš aliuminio šerdies, kuris aptrauktas kietu PP plastiko sluoksniu ir aptrauktu TPV gumos sluoksniu, lynai pagaminti iš 6-ių juostų plieninių vielų, kurios aptrauktos PES siūlais, spalvoti plieno komponentai karštai cinkuoti ir dažyti milteliniu būdu. Kėdutė pagaminta iš PE 100% perdirbto plastiko, kurio sienelės storis ne mažesnis kaip 5 mm. Laipiojimo trikampis pagamintas iš plieninės šerdies, išorėje aptraukta minkštu PUR sluoksniu ir kampinio laikiklio pagaminto iš nailono (PA6). Alpinizmo sienelė pagaminta iš Ekogrip® plokštės, kurią sudaro 15 mm storio PE plastikas ir 3 mm guminė danga, kuri mažina slydimą. Gaminių spalvą galima rinktis. </w:t>
            </w:r>
            <w:r>
              <w:rPr>
                <w:rFonts w:eastAsia="Calibri" w:cs="Arial" w:ascii="Arial" w:hAnsi="Arial"/>
                <w:kern w:val="0"/>
                <w:sz w:val="20"/>
                <w:szCs w:val="20"/>
                <w:lang w:val="lt-LT" w:eastAsia="en-US" w:bidi="ar-SA"/>
              </w:rPr>
              <w:t>Gaminys pagamintas pagal ES naujausius gamtos tausojimo ir ekologijos standartus bei reikalavimus, šitam gaminiui pagaminti buvo perdirbta ir panaudota net 38,65% perdirbtų medžiagų kas padėjo išvengti didelio (CO</w:t>
            </w:r>
            <w:r>
              <w:rPr>
                <w:rFonts w:eastAsia="Calibri" w:cs="Cambria Math" w:ascii="Cambria Math" w:hAnsi="Cambria Math"/>
                <w:kern w:val="0"/>
                <w:sz w:val="20"/>
                <w:szCs w:val="20"/>
                <w:lang w:val="lt-LT" w:eastAsia="en-US" w:bidi="ar-SA"/>
              </w:rPr>
              <w:t>₂</w:t>
            </w:r>
            <w:r>
              <w:rPr>
                <w:rFonts w:eastAsia="Calibri" w:cs="Arial" w:ascii="Arial" w:hAnsi="Arial"/>
                <w:kern w:val="0"/>
                <w:sz w:val="20"/>
                <w:szCs w:val="20"/>
                <w:lang w:val="lt-LT" w:eastAsia="en-US" w:bidi="ar-SA"/>
              </w:rPr>
              <w:t xml:space="preserve">) išmetimo. </w:t>
            </w:r>
            <w:r>
              <w:rPr>
                <w:rFonts w:eastAsia="Calibri" w:ascii="Arial" w:hAnsi="Arial"/>
                <w:kern w:val="0"/>
                <w:sz w:val="20"/>
                <w:szCs w:val="20"/>
                <w:lang w:val="lt-LT" w:eastAsia="en-US" w:bidi="ar-SA"/>
              </w:rPr>
              <w:t>Garantija:  cinkuotoms plieninėms dalims ir plokštėms – visam laikui, virvėms 10 metų, plastikiniams elementams - 5 metai, atsarginių detalių garantija - 10 metų. Gaminys turi TUV sertifikatą pagal EN1176-1.</w:t>
            </w:r>
          </w:p>
          <w:p>
            <w:pPr>
              <w:pStyle w:val="Normal"/>
              <w:widowControl/>
              <w:suppressAutoHyphens w:val="true"/>
              <w:spacing w:before="0" w:after="0"/>
              <w:jc w:val="both"/>
              <w:rPr>
                <w:rFonts w:ascii="Arial" w:hAnsi="Arial" w:cs="Arial"/>
                <w:sz w:val="20"/>
                <w:szCs w:val="20"/>
                <w:lang w:val="lt-LT"/>
              </w:rPr>
            </w:pPr>
            <w:r>
              <w:rPr>
                <w:rFonts w:cs="Arial" w:ascii="Arial" w:hAnsi="Arial"/>
                <w:sz w:val="20"/>
                <w:szCs w:val="20"/>
                <w:lang w:val="lt-LT"/>
              </w:rPr>
            </w:r>
          </w:p>
        </w:tc>
      </w:tr>
      <w:tr>
        <w:trPr>
          <w:trHeight w:val="3693" w:hRule="atLeast"/>
          <w:cantSplit w:val="true"/>
        </w:trPr>
        <w:tc>
          <w:tcPr>
            <w:tcW w:w="1120" w:type="dxa"/>
            <w:tcBorders>
              <w:top w:val="nil"/>
            </w:tcBorders>
            <w:vAlign w:val="center"/>
          </w:tcPr>
          <w:p>
            <w:pPr>
              <w:pStyle w:val="Normal"/>
              <w:widowControl/>
              <w:suppressAutoHyphens w:val="true"/>
              <w:spacing w:before="0" w:after="0"/>
              <w:jc w:val="center"/>
              <w:rPr>
                <w:rFonts w:eastAsia="Calibri"/>
                <w:kern w:val="0"/>
                <w:lang w:val="en-US" w:eastAsia="en-US" w:bidi="ar-SA"/>
              </w:rPr>
            </w:pPr>
            <w:r>
              <w:rPr>
                <w:rFonts w:eastAsia="Calibri" w:ascii="Arial" w:hAnsi="Arial"/>
                <w:kern w:val="0"/>
                <w:sz w:val="20"/>
                <w:szCs w:val="20"/>
                <w:lang w:val="en-US" w:eastAsia="en-US" w:bidi="ar-SA"/>
              </w:rPr>
              <w:t>ŽA17</w:t>
            </w:r>
          </w:p>
        </w:tc>
        <w:tc>
          <w:tcPr>
            <w:tcW w:w="3595" w:type="dxa"/>
            <w:tcBorders>
              <w:top w:val="nil"/>
            </w:tcBorders>
            <w:vAlign w:val="center"/>
          </w:tcPr>
          <w:p>
            <w:pPr>
              <w:pStyle w:val="Normal"/>
              <w:widowControl/>
              <w:suppressAutoHyphens w:val="true"/>
              <w:spacing w:before="0" w:after="0"/>
              <w:jc w:val="left"/>
              <w:rPr>
                <w:rFonts w:ascii="Arial" w:hAnsi="Arial"/>
                <w:b/>
                <w:bCs/>
                <w:sz w:val="20"/>
                <w:szCs w:val="20"/>
              </w:rPr>
            </w:pPr>
            <w:r>
              <w:rPr>
                <w:rFonts w:ascii="Arial" w:hAnsi="Arial"/>
                <w:b/>
                <w:bCs/>
                <w:sz w:val="20"/>
                <w:szCs w:val="20"/>
              </w:rPr>
              <w:drawing>
                <wp:anchor behindDoc="0" distT="0" distB="0" distL="0" distR="0" simplePos="0" locked="0" layoutInCell="1" allowOverlap="1" relativeHeight="215">
                  <wp:simplePos x="0" y="0"/>
                  <wp:positionH relativeFrom="column">
                    <wp:posOffset>-17780</wp:posOffset>
                  </wp:positionH>
                  <wp:positionV relativeFrom="paragraph">
                    <wp:posOffset>611505</wp:posOffset>
                  </wp:positionV>
                  <wp:extent cx="2148840" cy="1416685"/>
                  <wp:effectExtent l="0" t="0" r="0" b="0"/>
                  <wp:wrapSquare wrapText="largest"/>
                  <wp:docPr id="83" name="Image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43"/>
                          <pic:cNvPicPr>
                            <a:picLocks noChangeAspect="1" noChangeArrowheads="1"/>
                          </pic:cNvPicPr>
                        </pic:nvPicPr>
                        <pic:blipFill>
                          <a:blip r:embed="rId85"/>
                          <a:stretch>
                            <a:fillRect/>
                          </a:stretch>
                        </pic:blipFill>
                        <pic:spPr bwMode="auto">
                          <a:xfrm>
                            <a:off x="0" y="0"/>
                            <a:ext cx="2148840" cy="1416685"/>
                          </a:xfrm>
                          <a:prstGeom prst="rect">
                            <a:avLst/>
                          </a:prstGeom>
                          <a:noFill/>
                        </pic:spPr>
                      </pic:pic>
                    </a:graphicData>
                  </a:graphic>
                </wp:anchor>
              </w:drawing>
            </w:r>
          </w:p>
          <w:p>
            <w:pPr>
              <w:pStyle w:val="Normal"/>
              <w:widowControl/>
              <w:suppressAutoHyphens w:val="true"/>
              <w:spacing w:before="0" w:after="200"/>
              <w:jc w:val="left"/>
              <w:rPr>
                <w:rFonts w:ascii="Arial" w:hAnsi="Arial"/>
                <w:sz w:val="20"/>
                <w:szCs w:val="20"/>
              </w:rPr>
            </w:pPr>
            <w:r>
              <w:rPr>
                <w:rFonts w:ascii="Arial" w:hAnsi="Arial"/>
                <w:sz w:val="20"/>
                <w:szCs w:val="20"/>
              </w:rPr>
            </w:r>
          </w:p>
          <w:p>
            <w:pPr>
              <w:pStyle w:val="Normal"/>
              <w:widowControl/>
              <w:suppressAutoHyphens w:val="true"/>
              <w:spacing w:before="0" w:after="200"/>
              <w:jc w:val="left"/>
              <w:rPr>
                <w:rFonts w:ascii="Arial" w:hAnsi="Arial"/>
                <w:sz w:val="20"/>
                <w:szCs w:val="20"/>
              </w:rPr>
            </w:pPr>
            <w:r>
              <w:rPr>
                <w:rFonts w:ascii="Arial" w:hAnsi="Arial"/>
                <w:sz w:val="20"/>
                <w:szCs w:val="20"/>
              </w:rPr>
            </w:r>
          </w:p>
          <w:p>
            <w:pPr>
              <w:pStyle w:val="Normal"/>
              <w:widowControl/>
              <w:suppressAutoHyphens w:val="true"/>
              <w:spacing w:before="0" w:after="200"/>
              <w:jc w:val="left"/>
              <w:rPr>
                <w:rFonts w:ascii="Arial" w:hAnsi="Arial"/>
                <w:sz w:val="20"/>
                <w:szCs w:val="20"/>
              </w:rPr>
            </w:pPr>
            <w:r>
              <w:rPr/>
              <w:drawing>
                <wp:inline distT="0" distB="0" distL="0" distR="0">
                  <wp:extent cx="2145665" cy="2280285"/>
                  <wp:effectExtent l="0" t="0" r="0" b="0"/>
                  <wp:docPr id="84" name="Paveikslėlis 6" descr="Foot Print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aveikslėlis 6" descr="Foot Print (image)"/>
                          <pic:cNvPicPr>
                            <a:picLocks noChangeAspect="1" noChangeArrowheads="1"/>
                          </pic:cNvPicPr>
                        </pic:nvPicPr>
                        <pic:blipFill>
                          <a:blip r:embed="rId86"/>
                          <a:stretch>
                            <a:fillRect/>
                          </a:stretch>
                        </pic:blipFill>
                        <pic:spPr bwMode="auto">
                          <a:xfrm>
                            <a:off x="0" y="0"/>
                            <a:ext cx="2145665" cy="2280285"/>
                          </a:xfrm>
                          <a:prstGeom prst="rect">
                            <a:avLst/>
                          </a:prstGeom>
                          <a:noFill/>
                        </pic:spPr>
                      </pic:pic>
                    </a:graphicData>
                  </a:graphic>
                </wp:inline>
              </w:drawing>
            </w:r>
          </w:p>
          <w:p>
            <w:pPr>
              <w:pStyle w:val="Normal"/>
              <w:widowControl/>
              <w:suppressAutoHyphens w:val="true"/>
              <w:spacing w:before="0" w:after="200"/>
              <w:jc w:val="left"/>
              <w:rPr>
                <w:rFonts w:ascii="Arial" w:hAnsi="Arial"/>
                <w:sz w:val="20"/>
                <w:szCs w:val="20"/>
              </w:rPr>
            </w:pPr>
            <w:r>
              <w:rPr/>
              <w:drawing>
                <wp:inline distT="0" distB="0" distL="0" distR="0">
                  <wp:extent cx="2145665" cy="470535"/>
                  <wp:effectExtent l="0" t="0" r="0" b="0"/>
                  <wp:docPr id="85" name="Paveikslėlis 7" descr="Side View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aveikslėlis 7" descr="Side View (image)"/>
                          <pic:cNvPicPr>
                            <a:picLocks noChangeAspect="1" noChangeArrowheads="1"/>
                          </pic:cNvPicPr>
                        </pic:nvPicPr>
                        <pic:blipFill>
                          <a:blip r:embed="rId87"/>
                          <a:stretch>
                            <a:fillRect/>
                          </a:stretch>
                        </pic:blipFill>
                        <pic:spPr bwMode="auto">
                          <a:xfrm>
                            <a:off x="0" y="0"/>
                            <a:ext cx="2145665" cy="470535"/>
                          </a:xfrm>
                          <a:prstGeom prst="rect">
                            <a:avLst/>
                          </a:prstGeom>
                          <a:noFill/>
                        </pic:spPr>
                      </pic:pic>
                    </a:graphicData>
                  </a:graphic>
                </wp:inline>
              </w:drawing>
            </w:r>
          </w:p>
        </w:tc>
        <w:tc>
          <w:tcPr>
            <w:tcW w:w="5545" w:type="dxa"/>
            <w:tcBorders>
              <w:top w:val="nil"/>
            </w:tcBorders>
          </w:tcPr>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Objektas: </w:t>
            </w:r>
            <w:r>
              <w:rPr>
                <w:rFonts w:eastAsia="Calibri" w:ascii="Arial" w:hAnsi="Arial"/>
                <w:kern w:val="0"/>
                <w:sz w:val="20"/>
                <w:szCs w:val="20"/>
                <w:lang w:val="en-US" w:eastAsia="en-US" w:bidi="ar-SA"/>
              </w:rPr>
              <w:t>Vaikų žaidimų įrenginys ŽA16</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Matmenys:</w:t>
            </w:r>
            <w:r>
              <w:rPr>
                <w:rFonts w:eastAsia="Calibri" w:ascii="Arial" w:hAnsi="Arial"/>
                <w:kern w:val="0"/>
                <w:sz w:val="20"/>
                <w:szCs w:val="20"/>
                <w:lang w:val="en-US" w:eastAsia="en-US" w:bidi="ar-SA"/>
              </w:rPr>
              <w:t>121x229x125 cm</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Amžiaus grupė: 6</w:t>
            </w:r>
            <w:r>
              <w:rPr>
                <w:rFonts w:eastAsia="Calibri" w:ascii="Arial" w:hAnsi="Arial"/>
                <w:kern w:val="0"/>
                <w:sz w:val="20"/>
                <w:szCs w:val="20"/>
                <w:lang w:val="en-US" w:eastAsia="en-US" w:bidi="ar-SA"/>
              </w:rPr>
              <w:t>+</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Maksimalus galimas kritimo aukštis: 38</w:t>
            </w:r>
            <w:r>
              <w:rPr>
                <w:rFonts w:eastAsia="Calibri" w:ascii="Arial" w:hAnsi="Arial"/>
                <w:kern w:val="0"/>
                <w:sz w:val="20"/>
                <w:szCs w:val="20"/>
                <w:lang w:val="en-US" w:eastAsia="en-US" w:bidi="ar-SA"/>
              </w:rPr>
              <w:t xml:space="preserve"> cm</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Saugumo zona: </w:t>
            </w:r>
            <w:r>
              <w:rPr>
                <w:rFonts w:eastAsia="Calibri" w:ascii="Arial" w:hAnsi="Arial"/>
                <w:kern w:val="0"/>
                <w:sz w:val="20"/>
                <w:szCs w:val="20"/>
                <w:lang w:val="en-US" w:eastAsia="en-US" w:bidi="ar-SA"/>
              </w:rPr>
              <w:t>19,8 m</w:t>
            </w:r>
            <w:r>
              <w:rPr>
                <w:rFonts w:eastAsia="Calibri" w:ascii="Arial" w:hAnsi="Arial"/>
                <w:kern w:val="0"/>
                <w:sz w:val="20"/>
                <w:szCs w:val="20"/>
                <w:vertAlign w:val="superscript"/>
                <w:lang w:val="en-US" w:eastAsia="en-US" w:bidi="ar-SA"/>
              </w:rPr>
              <w:t>2</w:t>
            </w:r>
          </w:p>
          <w:p>
            <w:pPr>
              <w:pStyle w:val="Normal"/>
              <w:widowControl/>
              <w:suppressAutoHyphens w:val="true"/>
              <w:spacing w:before="0" w:after="0"/>
              <w:jc w:val="both"/>
              <w:rPr>
                <w:rFonts w:ascii="Arial" w:hAnsi="Arial"/>
                <w:b/>
                <w:bCs/>
                <w:sz w:val="20"/>
                <w:szCs w:val="20"/>
              </w:rPr>
            </w:pPr>
            <w:r>
              <w:rPr>
                <w:rFonts w:eastAsia="Calibri" w:ascii="Arial" w:hAnsi="Arial"/>
                <w:b/>
                <w:bCs/>
                <w:kern w:val="0"/>
                <w:sz w:val="20"/>
                <w:szCs w:val="20"/>
                <w:lang w:val="en-US" w:eastAsia="en-US" w:bidi="ar-SA"/>
              </w:rPr>
              <w:t>Aprašas:</w:t>
            </w:r>
          </w:p>
          <w:p>
            <w:pPr>
              <w:pStyle w:val="Normal"/>
              <w:widowControl/>
              <w:suppressAutoHyphens w:val="true"/>
              <w:spacing w:before="0" w:after="0"/>
              <w:jc w:val="both"/>
              <w:rPr>
                <w:rFonts w:ascii="Arial" w:hAnsi="Arial" w:cs="Arial"/>
                <w:sz w:val="20"/>
                <w:szCs w:val="20"/>
                <w:lang w:val="lt-LT"/>
              </w:rPr>
            </w:pPr>
            <w:r>
              <w:rPr>
                <w:rFonts w:eastAsia="Calibri" w:cs="Arial" w:ascii="Arial" w:hAnsi="Arial"/>
                <w:b/>
                <w:bCs/>
                <w:kern w:val="0"/>
                <w:sz w:val="20"/>
                <w:szCs w:val="20"/>
                <w:lang w:val="lt-LT" w:eastAsia="en-US" w:bidi="ar-SA"/>
              </w:rPr>
              <w:t xml:space="preserve">Pagrindiniai stulpai ir laiptukai: </w:t>
            </w:r>
            <w:r>
              <w:rPr>
                <w:rFonts w:eastAsia="Calibri" w:cs="Arial" w:ascii="Arial" w:hAnsi="Arial"/>
                <w:kern w:val="0"/>
                <w:sz w:val="20"/>
                <w:szCs w:val="20"/>
                <w:lang w:val="lt-LT" w:eastAsia="en-US" w:bidi="ar-SA"/>
              </w:rPr>
              <w:t xml:space="preserve">iš </w:t>
            </w:r>
            <w:r>
              <w:rPr>
                <w:rFonts w:eastAsia="Times New Roman" w:cs="Arial" w:ascii="Arial" w:hAnsi="Arial"/>
                <w:kern w:val="0"/>
                <w:sz w:val="20"/>
                <w:szCs w:val="20"/>
                <w:lang w:val="en-US" w:eastAsia="en-US" w:bidi="ar-SA"/>
              </w:rPr>
              <w:t>ø100 mm</w:t>
            </w:r>
            <w:r>
              <w:rPr>
                <w:rFonts w:eastAsia="Calibri" w:cs="Arial" w:ascii="Arial" w:hAnsi="Arial"/>
                <w:kern w:val="0"/>
                <w:sz w:val="20"/>
                <w:szCs w:val="20"/>
                <w:lang w:val="lt-LT" w:eastAsia="en-US" w:bidi="ar-SA"/>
              </w:rPr>
              <w:t xml:space="preserve"> Texmade: 95% po vartojimo perdirbtų polietileno ir tekstilės atliekų su karštai cinkuoto plieno pagrindu apačioje. Plokštės iš nemažiau 19 mm storio </w:t>
            </w:r>
            <w:r>
              <w:rPr>
                <w:rFonts w:eastAsia="Calibri" w:cs="Arial" w:ascii="Arial" w:hAnsi="Arial"/>
                <w:b/>
                <w:bCs/>
                <w:kern w:val="0"/>
                <w:sz w:val="20"/>
                <w:szCs w:val="20"/>
                <w:lang w:val="lt-LT" w:eastAsia="en-US" w:bidi="ar-SA"/>
              </w:rPr>
              <w:t xml:space="preserve">EcoCore™ </w:t>
            </w:r>
            <w:r>
              <w:rPr>
                <w:rFonts w:eastAsia="Calibri" w:cs="Arial" w:ascii="Arial" w:hAnsi="Arial"/>
                <w:kern w:val="0"/>
                <w:sz w:val="20"/>
                <w:szCs w:val="20"/>
                <w:lang w:val="lt-LT" w:eastAsia="en-US" w:bidi="ar-SA"/>
              </w:rPr>
              <w:t xml:space="preserve">polietileno, pagaminto iš 95 % perdirbtų atliekų, ilgaamžis ir perdirbamas pakartotinai. </w:t>
            </w:r>
            <w:r>
              <w:rPr>
                <w:rFonts w:eastAsia="Calibri" w:cs="Arial" w:ascii="Arial" w:hAnsi="Arial"/>
                <w:b/>
                <w:bCs/>
                <w:kern w:val="0"/>
                <w:sz w:val="20"/>
                <w:szCs w:val="20"/>
                <w:lang w:val="lt-LT" w:eastAsia="en-US" w:bidi="ar-SA"/>
              </w:rPr>
              <w:t>Grandinės:</w:t>
            </w:r>
            <w:r>
              <w:rPr>
                <w:rFonts w:eastAsia="Calibri" w:cs="Arial" w:ascii="Arial" w:hAnsi="Arial"/>
                <w:kern w:val="0"/>
                <w:sz w:val="20"/>
                <w:szCs w:val="20"/>
                <w:lang w:val="lt-LT" w:eastAsia="en-US" w:bidi="ar-SA"/>
              </w:rPr>
              <w:t xml:space="preserve"> Nerūdijantis plienas. Turėklai ir kiti vamzdžiai iš ne mažiau kaip </w:t>
            </w:r>
            <w:r>
              <w:rPr>
                <w:rFonts w:eastAsia="Times New Roman" w:cs="Arial" w:ascii="Arial" w:hAnsi="Arial"/>
                <w:kern w:val="0"/>
                <w:sz w:val="20"/>
                <w:szCs w:val="20"/>
                <w:lang w:val="en-US" w:eastAsia="en-US" w:bidi="ar-SA"/>
              </w:rPr>
              <w:t>ø38 mm skersmens</w:t>
            </w:r>
            <w:r>
              <w:rPr>
                <w:rFonts w:eastAsia="Calibri" w:cs="Arial" w:ascii="Arial" w:hAnsi="Arial"/>
                <w:kern w:val="0"/>
                <w:sz w:val="20"/>
                <w:szCs w:val="20"/>
                <w:lang w:val="lt-LT" w:eastAsia="en-US" w:bidi="ar-SA"/>
              </w:rPr>
              <w:t xml:space="preserve">  karštai cinkuoto plieno,</w:t>
            </w:r>
            <w:r>
              <w:rPr>
                <w:rFonts w:eastAsia="Calibri" w:cs="Arial" w:ascii="Arial" w:hAnsi="Arial"/>
                <w:b/>
                <w:bCs/>
                <w:kern w:val="0"/>
                <w:sz w:val="20"/>
                <w:szCs w:val="20"/>
                <w:lang w:val="lt-LT" w:eastAsia="en-US" w:bidi="ar-SA"/>
              </w:rPr>
              <w:t xml:space="preserve"> </w:t>
            </w:r>
            <w:r>
              <w:rPr>
                <w:rFonts w:eastAsia="Calibri" w:cs="Arial" w:ascii="Arial" w:hAnsi="Arial"/>
                <w:kern w:val="0"/>
                <w:sz w:val="20"/>
                <w:szCs w:val="20"/>
                <w:lang w:val="lt-LT" w:eastAsia="en-US" w:bidi="ar-SA"/>
              </w:rPr>
              <w:t>cinkavimas atitinka ISO1461 standartą, be švino.</w:t>
            </w:r>
          </w:p>
          <w:p>
            <w:pPr>
              <w:pStyle w:val="Normal"/>
              <w:widowControl/>
              <w:suppressAutoHyphens w:val="true"/>
              <w:spacing w:before="0" w:after="0"/>
              <w:jc w:val="both"/>
              <w:rPr>
                <w:rFonts w:ascii="Arial" w:hAnsi="Arial" w:cs="Arial"/>
                <w:sz w:val="20"/>
                <w:szCs w:val="20"/>
                <w:lang w:val="lt-LT"/>
              </w:rPr>
            </w:pPr>
            <w:r>
              <w:rPr>
                <w:rFonts w:eastAsia="Calibri" w:cs="Arial" w:ascii="Arial" w:hAnsi="Arial"/>
                <w:kern w:val="0"/>
                <w:sz w:val="20"/>
                <w:szCs w:val="20"/>
                <w:lang w:val="lt-LT" w:eastAsia="en-US" w:bidi="ar-SA"/>
              </w:rPr>
              <w:t>Gaminys pagamintas pagal ES naujausius gamtos tausojimo ir ekologijos standartus bei reikalavimus, šitam gaminiui pagaminti buvo perdirbta ir panaudota net 77,74% perdirbtų medžiagų kas padėjo išvengti didelio (CO</w:t>
            </w:r>
            <w:r>
              <w:rPr>
                <w:rFonts w:eastAsia="Calibri" w:cs="Cambria Math" w:ascii="Cambria Math" w:hAnsi="Cambria Math"/>
                <w:kern w:val="0"/>
                <w:sz w:val="20"/>
                <w:szCs w:val="20"/>
                <w:lang w:val="lt-LT" w:eastAsia="en-US" w:bidi="ar-SA"/>
              </w:rPr>
              <w:t>₂</w:t>
            </w:r>
            <w:r>
              <w:rPr>
                <w:rFonts w:eastAsia="Calibri" w:cs="Arial" w:ascii="Arial" w:hAnsi="Arial"/>
                <w:kern w:val="0"/>
                <w:sz w:val="20"/>
                <w:szCs w:val="20"/>
                <w:lang w:val="lt-LT" w:eastAsia="en-US" w:bidi="ar-SA"/>
              </w:rPr>
              <w:t>) išmetimo.</w:t>
            </w:r>
          </w:p>
          <w:p>
            <w:pPr>
              <w:pStyle w:val="Normal"/>
              <w:widowControl/>
              <w:suppressAutoHyphens w:val="true"/>
              <w:spacing w:before="0" w:after="0"/>
              <w:jc w:val="both"/>
              <w:rPr>
                <w:rFonts w:ascii="Arial" w:hAnsi="Arial" w:cs="Arial"/>
                <w:sz w:val="20"/>
                <w:szCs w:val="20"/>
              </w:rPr>
            </w:pPr>
            <w:r>
              <w:rPr>
                <w:rFonts w:eastAsia="Calibri" w:cs="Arial" w:ascii="Arial" w:hAnsi="Arial"/>
                <w:b/>
                <w:bCs/>
                <w:kern w:val="0"/>
                <w:sz w:val="20"/>
                <w:szCs w:val="20"/>
                <w:lang w:val="en-US" w:eastAsia="en-US" w:bidi="ar-SA"/>
              </w:rPr>
              <w:t>Garantijos:</w:t>
            </w:r>
            <w:r>
              <w:rPr>
                <w:rFonts w:eastAsia="Calibri" w:cs="Arial" w:ascii="Arial" w:hAnsi="Arial"/>
                <w:kern w:val="0"/>
                <w:sz w:val="20"/>
                <w:szCs w:val="20"/>
                <w:lang w:val="en-US" w:eastAsia="en-US" w:bidi="ar-SA"/>
              </w:rPr>
              <w:t xml:space="preserve"> Grandinės – 10 metų; EcoCore™ HDPE – visam laikotarpiui; Cinkuotas plienas – visam laikotarpiui; Stulpai – 10 metų; Atsarginės dalys – garantuojamos 10 metų.</w:t>
            </w:r>
          </w:p>
          <w:p>
            <w:pPr>
              <w:pStyle w:val="Normal"/>
              <w:widowControl/>
              <w:suppressAutoHyphens w:val="true"/>
              <w:spacing w:before="0" w:after="0"/>
              <w:jc w:val="both"/>
              <w:rPr>
                <w:rFonts w:ascii="Arial" w:hAnsi="Arial"/>
                <w:sz w:val="20"/>
                <w:szCs w:val="20"/>
                <w:lang w:val="lt-LT"/>
              </w:rPr>
            </w:pPr>
            <w:r>
              <w:rPr>
                <w:rFonts w:eastAsia="Calibri" w:ascii="Arial" w:hAnsi="Arial"/>
                <w:kern w:val="0"/>
                <w:sz w:val="20"/>
                <w:szCs w:val="20"/>
                <w:lang w:val="lt-LT" w:eastAsia="en-US" w:bidi="ar-SA"/>
              </w:rPr>
              <w:t>Gaminys turi TUV sertifikatą pagal EN1176-1.</w:t>
            </w:r>
          </w:p>
          <w:p>
            <w:pPr>
              <w:pStyle w:val="Normal"/>
              <w:widowControl/>
              <w:suppressAutoHyphens w:val="true"/>
              <w:spacing w:before="0" w:after="0"/>
              <w:jc w:val="both"/>
              <w:rPr>
                <w:rFonts w:ascii="Arial" w:hAnsi="Arial"/>
                <w:sz w:val="20"/>
                <w:szCs w:val="20"/>
                <w:lang w:val="lt-LT"/>
              </w:rPr>
            </w:pPr>
            <w:r>
              <w:rPr>
                <w:rFonts w:ascii="Arial" w:hAnsi="Arial"/>
                <w:sz w:val="20"/>
                <w:szCs w:val="20"/>
                <w:lang w:val="lt-LT"/>
              </w:rPr>
            </w:r>
          </w:p>
          <w:p>
            <w:pPr>
              <w:pStyle w:val="Normal"/>
              <w:widowControl/>
              <w:suppressAutoHyphens w:val="true"/>
              <w:spacing w:before="0" w:after="0"/>
              <w:jc w:val="both"/>
              <w:rPr>
                <w:rFonts w:ascii="Arial" w:hAnsi="Arial"/>
                <w:sz w:val="20"/>
                <w:szCs w:val="20"/>
              </w:rPr>
            </w:pPr>
            <w:r>
              <w:rPr>
                <w:rFonts w:ascii="Arial" w:hAnsi="Arial"/>
                <w:sz w:val="20"/>
                <w:szCs w:val="20"/>
              </w:rPr>
            </w:r>
          </w:p>
          <w:p>
            <w:pPr>
              <w:pStyle w:val="Normal"/>
              <w:widowControl/>
              <w:suppressAutoHyphens w:val="true"/>
              <w:spacing w:before="0" w:after="0"/>
              <w:jc w:val="both"/>
              <w:rPr>
                <w:rFonts w:ascii="Arial" w:hAnsi="Arial"/>
                <w:sz w:val="20"/>
                <w:szCs w:val="20"/>
              </w:rPr>
            </w:pPr>
            <w:r>
              <w:rPr>
                <w:rFonts w:ascii="Arial" w:hAnsi="Arial"/>
                <w:sz w:val="20"/>
                <w:szCs w:val="20"/>
              </w:rPr>
            </w:r>
          </w:p>
        </w:tc>
      </w:tr>
      <w:tr>
        <w:trPr>
          <w:trHeight w:val="3693" w:hRule="atLeast"/>
          <w:cantSplit w:val="true"/>
        </w:trPr>
        <w:tc>
          <w:tcPr>
            <w:tcW w:w="1120" w:type="dxa"/>
            <w:tcBorders>
              <w:top w:val="nil"/>
            </w:tcBorders>
            <w:vAlign w:val="center"/>
          </w:tcPr>
          <w:p>
            <w:pPr>
              <w:pStyle w:val="Normal"/>
              <w:widowControl/>
              <w:suppressAutoHyphens w:val="true"/>
              <w:spacing w:before="0" w:after="0"/>
              <w:jc w:val="center"/>
              <w:rPr>
                <w:rFonts w:eastAsia="Calibri"/>
                <w:kern w:val="0"/>
                <w:lang w:val="en-US" w:eastAsia="en-US" w:bidi="ar-SA"/>
              </w:rPr>
            </w:pPr>
            <w:r>
              <w:rPr>
                <w:rFonts w:eastAsia="Calibri" w:ascii="Arial" w:hAnsi="Arial"/>
                <w:kern w:val="0"/>
                <w:sz w:val="20"/>
                <w:szCs w:val="20"/>
                <w:lang w:val="en-US" w:eastAsia="en-US" w:bidi="ar-SA"/>
              </w:rPr>
              <w:t>ŽA18</w:t>
            </w:r>
          </w:p>
        </w:tc>
        <w:tc>
          <w:tcPr>
            <w:tcW w:w="3595" w:type="dxa"/>
            <w:tcBorders>
              <w:top w:val="nil"/>
            </w:tcBorders>
            <w:vAlign w:val="center"/>
          </w:tcPr>
          <w:p>
            <w:pPr>
              <w:pStyle w:val="Normal"/>
              <w:widowControl/>
              <w:suppressAutoHyphens w:val="true"/>
              <w:spacing w:before="0" w:after="0"/>
              <w:jc w:val="left"/>
              <w:rPr>
                <w:rFonts w:ascii="Arial" w:hAnsi="Arial"/>
                <w:b/>
                <w:bCs/>
                <w:sz w:val="20"/>
                <w:szCs w:val="20"/>
              </w:rPr>
            </w:pPr>
            <w:r>
              <w:rPr/>
              <w:drawing>
                <wp:inline distT="0" distB="0" distL="0" distR="0">
                  <wp:extent cx="2145665" cy="1376045"/>
                  <wp:effectExtent l="0" t="0" r="0" b="0"/>
                  <wp:docPr id="86"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aveikslėlis 11"/>
                          <pic:cNvPicPr>
                            <a:picLocks noChangeAspect="1" noChangeArrowheads="1"/>
                          </pic:cNvPicPr>
                        </pic:nvPicPr>
                        <pic:blipFill>
                          <a:blip r:embed="rId88"/>
                          <a:stretch>
                            <a:fillRect/>
                          </a:stretch>
                        </pic:blipFill>
                        <pic:spPr bwMode="auto">
                          <a:xfrm>
                            <a:off x="0" y="0"/>
                            <a:ext cx="2145665" cy="1376045"/>
                          </a:xfrm>
                          <a:prstGeom prst="rect">
                            <a:avLst/>
                          </a:prstGeom>
                          <a:noFill/>
                        </pic:spPr>
                      </pic:pic>
                    </a:graphicData>
                  </a:graphic>
                </wp:inline>
              </w:drawing>
              <w:drawing>
                <wp:anchor behindDoc="0" distT="0" distB="0" distL="0" distR="0" simplePos="0" locked="0" layoutInCell="1" allowOverlap="1" relativeHeight="217">
                  <wp:simplePos x="0" y="0"/>
                  <wp:positionH relativeFrom="column">
                    <wp:posOffset>29845</wp:posOffset>
                  </wp:positionH>
                  <wp:positionV relativeFrom="paragraph">
                    <wp:posOffset>635</wp:posOffset>
                  </wp:positionV>
                  <wp:extent cx="2148840" cy="1552575"/>
                  <wp:effectExtent l="0" t="0" r="0" b="0"/>
                  <wp:wrapSquare wrapText="largest"/>
                  <wp:docPr id="87" name="Image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age44"/>
                          <pic:cNvPicPr>
                            <a:picLocks noChangeAspect="1" noChangeArrowheads="1"/>
                          </pic:cNvPicPr>
                        </pic:nvPicPr>
                        <pic:blipFill>
                          <a:blip r:embed="rId89"/>
                          <a:stretch>
                            <a:fillRect/>
                          </a:stretch>
                        </pic:blipFill>
                        <pic:spPr bwMode="auto">
                          <a:xfrm>
                            <a:off x="0" y="0"/>
                            <a:ext cx="2148840" cy="1552575"/>
                          </a:xfrm>
                          <a:prstGeom prst="rect">
                            <a:avLst/>
                          </a:prstGeom>
                          <a:noFill/>
                        </pic:spPr>
                      </pic:pic>
                    </a:graphicData>
                  </a:graphic>
                </wp:anchor>
              </w:drawing>
            </w:r>
          </w:p>
        </w:tc>
        <w:tc>
          <w:tcPr>
            <w:tcW w:w="5545" w:type="dxa"/>
            <w:tcBorders>
              <w:top w:val="nil"/>
            </w:tcBorders>
          </w:tcPr>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Objektas:</w:t>
            </w:r>
            <w:r>
              <w:rPr>
                <w:rFonts w:eastAsia="Calibri" w:ascii="Arial" w:hAnsi="Arial"/>
                <w:kern w:val="0"/>
                <w:sz w:val="20"/>
                <w:szCs w:val="20"/>
                <w:lang w:val="en-US" w:eastAsia="en-US" w:bidi="ar-SA"/>
              </w:rPr>
              <w:t>Vaikų žaidimų įrenginys ŽA18</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Matmenys:</w:t>
            </w:r>
            <w:r>
              <w:rPr>
                <w:rFonts w:eastAsia="Calibri" w:ascii="Arial" w:hAnsi="Arial"/>
                <w:kern w:val="0"/>
                <w:sz w:val="20"/>
                <w:szCs w:val="20"/>
                <w:lang w:val="en-US" w:eastAsia="en-US" w:bidi="ar-SA"/>
              </w:rPr>
              <w:t xml:space="preserve"> 533x317x45 cm</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Amžiaus grupė: </w:t>
            </w:r>
            <w:r>
              <w:rPr>
                <w:rFonts w:eastAsia="Calibri" w:ascii="Arial" w:hAnsi="Arial"/>
                <w:kern w:val="0"/>
                <w:sz w:val="20"/>
                <w:szCs w:val="20"/>
                <w:lang w:val="en-US" w:eastAsia="en-US" w:bidi="ar-SA"/>
              </w:rPr>
              <w:t>13+</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Maksimalus galimas kritimo aukštis: </w:t>
            </w:r>
            <w:r>
              <w:rPr>
                <w:rFonts w:eastAsia="Calibri" w:ascii="Arial" w:hAnsi="Arial"/>
                <w:kern w:val="0"/>
                <w:sz w:val="20"/>
                <w:szCs w:val="20"/>
                <w:lang w:val="en-US" w:eastAsia="en-US" w:bidi="ar-SA"/>
              </w:rPr>
              <w:t>40 cm</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 xml:space="preserve">Saugumo zona: </w:t>
            </w:r>
            <w:r>
              <w:rPr>
                <w:rFonts w:eastAsia="Calibri" w:ascii="Arial" w:hAnsi="Arial"/>
                <w:kern w:val="0"/>
                <w:sz w:val="20"/>
                <w:szCs w:val="20"/>
                <w:lang w:val="en-US" w:eastAsia="en-US" w:bidi="ar-SA"/>
              </w:rPr>
              <w:t>28,0 m</w:t>
            </w:r>
            <w:r>
              <w:rPr>
                <w:rFonts w:eastAsia="Calibri" w:ascii="Arial" w:hAnsi="Arial"/>
                <w:kern w:val="0"/>
                <w:sz w:val="20"/>
                <w:szCs w:val="20"/>
                <w:vertAlign w:val="superscript"/>
                <w:lang w:val="en-US" w:eastAsia="en-US" w:bidi="ar-SA"/>
              </w:rPr>
              <w:t>2</w:t>
            </w:r>
          </w:p>
          <w:p>
            <w:pPr>
              <w:pStyle w:val="Normal"/>
              <w:widowControl/>
              <w:suppressAutoHyphens w:val="true"/>
              <w:spacing w:before="0" w:after="200"/>
              <w:jc w:val="both"/>
              <w:rPr>
                <w:rFonts w:ascii="Arial" w:hAnsi="Arial" w:eastAsia="Times New Roman" w:cs="Arial"/>
                <w:sz w:val="22"/>
                <w:szCs w:val="22"/>
              </w:rPr>
            </w:pPr>
            <w:r>
              <w:rPr>
                <w:rFonts w:eastAsia="Calibri" w:ascii="Arial" w:hAnsi="Arial"/>
                <w:b/>
                <w:bCs/>
                <w:kern w:val="0"/>
                <w:sz w:val="20"/>
                <w:szCs w:val="20"/>
                <w:lang w:val="en-US" w:eastAsia="en-US" w:bidi="ar-SA"/>
              </w:rPr>
              <w:t>Aprašas:</w:t>
            </w:r>
          </w:p>
          <w:p>
            <w:pPr>
              <w:pStyle w:val="Normal"/>
              <w:widowControl/>
              <w:suppressAutoHyphens w:val="true"/>
              <w:spacing w:before="0" w:after="200"/>
              <w:jc w:val="both"/>
              <w:rPr>
                <w:rFonts w:ascii="Arial" w:hAnsi="Arial" w:eastAsia="Times New Roman" w:cs="Arial"/>
                <w:sz w:val="20"/>
                <w:szCs w:val="20"/>
              </w:rPr>
            </w:pPr>
            <w:r>
              <w:rPr>
                <w:rFonts w:eastAsia="Times New Roman" w:cs="Arial" w:ascii="Arial" w:hAnsi="Arial"/>
                <w:kern w:val="0"/>
                <w:sz w:val="20"/>
                <w:szCs w:val="20"/>
                <w:lang w:val="en-US" w:eastAsia="en-US" w:bidi="ar-SA"/>
              </w:rPr>
              <w:t xml:space="preserve">Gaminys suskirstytas į tris skyrius, kurių sunkumas vis didėja. Kiekviena atkarpa turėtų pakeisti kryptį 135 laipsnių kampu. Konstrukcija pagaminta iš nemažiau Ø 101,6 x 2 mm cinkuoto anglinio plieno, kuris nudažytas milteliniais dažais, ir nemažiau  kaip Ø 48,3 x 4,1 mm karštai cinkuoto plieno vamzdžio. Platformos pagamintos iš didelio tankio, spalvotų, UV spinduliams atsparios „EcoCore™“ polietileno plokščių, kuris yra nemažiau 19 mm storio (15 mm polietilenas, 3 mm neslydus paviršinis termoplastinės gumos sluoksnis). Jungtys pagamintos iš liejamo aliuminio, specialiai pritaikyto lauko aplinkai. Varžtai, tvirtinančios jungtys, pagamintos iš nerūdijančio plieno. Prie gaminio pritvirtinta lentelė su QR kodu, kurį nuskaičius atidaromas treniruotės pavyzdys ir yra galimybė parsiųsti programėlę, kuri parodys daugiau galimų pratimų ir treniruočių programų. Gaminys turi sertifikatą EN16630 ir </w:t>
            </w:r>
            <w:r>
              <w:rPr>
                <w:rFonts w:eastAsia="Calibri" w:cs="Arial" w:ascii="Arial" w:hAnsi="Arial"/>
                <w:kern w:val="0"/>
                <w:sz w:val="20"/>
                <w:szCs w:val="20"/>
                <w:shd w:fill="FFFFFF" w:val="clear"/>
                <w:lang w:val="en-US" w:eastAsia="en-US" w:bidi="ar-SA"/>
              </w:rPr>
              <w:t>ASTM F3101.</w:t>
            </w:r>
            <w:r>
              <w:rPr>
                <w:rFonts w:eastAsia="Times New Roman" w:cs="Arial" w:ascii="Arial" w:hAnsi="Arial"/>
                <w:kern w:val="0"/>
                <w:sz w:val="20"/>
                <w:szCs w:val="20"/>
                <w:lang w:val="en-US" w:eastAsia="en-US" w:bidi="ar-SA"/>
              </w:rPr>
              <w:t xml:space="preserve"> </w:t>
            </w:r>
            <w:r>
              <w:rPr>
                <w:rFonts w:eastAsia="Calibri" w:cs="Arial" w:ascii="Arial" w:hAnsi="Arial"/>
                <w:kern w:val="0"/>
                <w:sz w:val="20"/>
                <w:szCs w:val="20"/>
                <w:lang w:val="lt-LT" w:eastAsia="en-US" w:bidi="ar-SA"/>
              </w:rPr>
              <w:t>Gaminys pagamintas pagal ES naujausius gamtos tausojimo ir ekologijos standartus bei reikalavimus, šitam gaminiui pagaminti buvo perdirbta ir panaudota net 53,91% perdirbtų medžiagų kas padėjo išvengti didelio (CO</w:t>
            </w:r>
            <w:r>
              <w:rPr>
                <w:rFonts w:eastAsia="Calibri" w:cs="Cambria Math" w:ascii="Cambria Math" w:hAnsi="Cambria Math"/>
                <w:kern w:val="0"/>
                <w:sz w:val="20"/>
                <w:szCs w:val="20"/>
                <w:lang w:val="lt-LT" w:eastAsia="en-US" w:bidi="ar-SA"/>
              </w:rPr>
              <w:t>₂</w:t>
            </w:r>
            <w:r>
              <w:rPr>
                <w:rFonts w:eastAsia="Calibri" w:cs="Arial" w:ascii="Arial" w:hAnsi="Arial"/>
                <w:kern w:val="0"/>
                <w:sz w:val="20"/>
                <w:szCs w:val="20"/>
                <w:lang w:val="lt-LT" w:eastAsia="en-US" w:bidi="ar-SA"/>
              </w:rPr>
              <w:t>) išmetimo.</w:t>
            </w:r>
            <w:r>
              <w:rPr>
                <w:rFonts w:eastAsia="Times New Roman" w:cs="Arial" w:ascii="Arial" w:hAnsi="Arial"/>
                <w:kern w:val="0"/>
                <w:sz w:val="20"/>
                <w:szCs w:val="20"/>
                <w:lang w:val="en-US" w:eastAsia="en-US" w:bidi="ar-SA"/>
              </w:rPr>
              <w:t xml:space="preserve"> </w:t>
            </w:r>
            <w:r>
              <w:rPr>
                <w:rFonts w:eastAsia="Calibri" w:cs="Arial" w:ascii="Arial" w:hAnsi="Arial"/>
                <w:kern w:val="0"/>
                <w:sz w:val="20"/>
                <w:szCs w:val="20"/>
                <w:shd w:fill="FFFFFF" w:val="clear"/>
                <w:lang w:val="en-US" w:eastAsia="en-US" w:bidi="ar-SA"/>
              </w:rPr>
              <w:t>Garantijos: Ecocore plokštėms ir plienui visam laikui;</w:t>
            </w:r>
            <w:r>
              <w:rPr>
                <w:rFonts w:eastAsia="Times New Roman" w:cs="Arial" w:ascii="Arial" w:hAnsi="Arial"/>
                <w:kern w:val="0"/>
                <w:sz w:val="20"/>
                <w:szCs w:val="20"/>
                <w:lang w:val="en-US" w:eastAsia="en-US" w:bidi="ar-SA"/>
              </w:rPr>
              <w:t xml:space="preserve"> </w:t>
            </w:r>
            <w:r>
              <w:rPr>
                <w:rFonts w:eastAsia="Calibri" w:cs="Arial" w:ascii="Arial" w:hAnsi="Arial"/>
                <w:kern w:val="0"/>
                <w:sz w:val="20"/>
                <w:szCs w:val="20"/>
                <w:shd w:fill="FFFFFF" w:val="clear"/>
                <w:lang w:val="en-US" w:eastAsia="en-US" w:bidi="ar-SA"/>
              </w:rPr>
              <w:t>kitiems  elementams - 10 metų.</w:t>
            </w:r>
          </w:p>
        </w:tc>
      </w:tr>
      <w:tr>
        <w:trPr>
          <w:trHeight w:val="3693" w:hRule="atLeast"/>
          <w:cantSplit w:val="true"/>
        </w:trPr>
        <w:tc>
          <w:tcPr>
            <w:tcW w:w="1120" w:type="dxa"/>
            <w:tcBorders>
              <w:top w:val="nil"/>
            </w:tcBorders>
            <w:vAlign w:val="center"/>
          </w:tcPr>
          <w:p>
            <w:pPr>
              <w:pStyle w:val="Normal"/>
              <w:suppressAutoHyphens w:val="true"/>
              <w:spacing w:before="0" w:after="0"/>
              <w:jc w:val="center"/>
              <w:rPr>
                <w:rFonts w:ascii="Arial" w:hAnsi="Arial" w:eastAsia="Calibri"/>
                <w:sz w:val="20"/>
                <w:szCs w:val="20"/>
                <w:lang w:val="en-US"/>
              </w:rPr>
            </w:pPr>
            <w:r>
              <w:rPr>
                <w:rFonts w:eastAsia="Calibri" w:ascii="Arial" w:hAnsi="Arial"/>
                <w:sz w:val="20"/>
                <w:szCs w:val="20"/>
                <w:lang w:val="en-US"/>
              </w:rPr>
              <w:t>MT-1.1</w:t>
            </w:r>
          </w:p>
        </w:tc>
        <w:tc>
          <w:tcPr>
            <w:tcW w:w="3595" w:type="dxa"/>
            <w:tcBorders>
              <w:top w:val="nil"/>
            </w:tcBorders>
            <w:vAlign w:val="center"/>
          </w:tcPr>
          <w:p>
            <w:pPr>
              <w:pStyle w:val="Normal"/>
              <w:widowControl/>
              <w:suppressAutoHyphens w:val="true"/>
              <w:spacing w:before="0" w:after="0"/>
              <w:jc w:val="left"/>
              <w:rPr>
                <w:rFonts w:ascii="Arial" w:hAnsi="Arial"/>
                <w:b/>
                <w:bCs/>
                <w:sz w:val="20"/>
                <w:szCs w:val="20"/>
              </w:rPr>
            </w:pPr>
            <w:r>
              <w:rPr>
                <w:rFonts w:ascii="Arial" w:hAnsi="Arial"/>
                <w:b/>
                <w:bCs/>
                <w:sz w:val="20"/>
                <w:szCs w:val="20"/>
              </w:rPr>
              <w:drawing>
                <wp:anchor behindDoc="0" distT="0" distB="0" distL="0" distR="0" simplePos="0" locked="0" layoutInCell="0" allowOverlap="1" relativeHeight="219">
                  <wp:simplePos x="0" y="0"/>
                  <wp:positionH relativeFrom="column">
                    <wp:align>center</wp:align>
                  </wp:positionH>
                  <wp:positionV relativeFrom="paragraph">
                    <wp:posOffset>635</wp:posOffset>
                  </wp:positionV>
                  <wp:extent cx="2145665" cy="1527810"/>
                  <wp:effectExtent l="0" t="0" r="0" b="0"/>
                  <wp:wrapSquare wrapText="largest"/>
                  <wp:docPr id="88" name="Paveiksla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aveikslas1"/>
                          <pic:cNvPicPr>
                            <a:picLocks noChangeAspect="1" noChangeArrowheads="1"/>
                          </pic:cNvPicPr>
                        </pic:nvPicPr>
                        <pic:blipFill>
                          <a:blip r:embed="rId90"/>
                          <a:stretch>
                            <a:fillRect/>
                          </a:stretch>
                        </pic:blipFill>
                        <pic:spPr bwMode="auto">
                          <a:xfrm>
                            <a:off x="0" y="0"/>
                            <a:ext cx="2145665" cy="1527810"/>
                          </a:xfrm>
                          <a:prstGeom prst="rect">
                            <a:avLst/>
                          </a:prstGeom>
                          <a:noFill/>
                        </pic:spPr>
                      </pic:pic>
                    </a:graphicData>
                  </a:graphic>
                </wp:anchor>
              </w:drawing>
            </w:r>
          </w:p>
        </w:tc>
        <w:tc>
          <w:tcPr>
            <w:tcW w:w="5545" w:type="dxa"/>
            <w:tcBorders>
              <w:top w:val="nil"/>
            </w:tcBorders>
          </w:tcPr>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Objektas:</w:t>
            </w:r>
            <w:r>
              <w:rPr>
                <w:rFonts w:eastAsia="Calibri" w:cs="Times New Roman" w:ascii="Arial" w:hAnsi="Arial"/>
                <w:color w:val="auto"/>
                <w:kern w:val="0"/>
                <w:sz w:val="20"/>
                <w:szCs w:val="20"/>
                <w:lang w:val="en-US" w:eastAsia="en-US" w:bidi="ar-SA"/>
              </w:rPr>
              <w:t xml:space="preserve">Metalinė vaikų žaidimų aikštelės tvorelė </w:t>
            </w:r>
            <w:r>
              <w:rPr>
                <w:rFonts w:eastAsia="Calibri" w:ascii="Arial" w:hAnsi="Arial"/>
                <w:kern w:val="0"/>
                <w:sz w:val="20"/>
                <w:szCs w:val="20"/>
                <w:lang w:val="en-US" w:eastAsia="en-US" w:bidi="ar-SA"/>
              </w:rPr>
              <w:t>MT-1.1 (su varteliais)</w:t>
            </w:r>
          </w:p>
          <w:p>
            <w:pPr>
              <w:pStyle w:val="Normal"/>
              <w:widowControl/>
              <w:suppressAutoHyphens w:val="true"/>
              <w:spacing w:before="0" w:after="0"/>
              <w:jc w:val="both"/>
              <w:rPr>
                <w:rFonts w:eastAsia="Calibri"/>
                <w:kern w:val="0"/>
                <w:lang w:val="en-US" w:eastAsia="en-US" w:bidi="ar-SA"/>
              </w:rPr>
            </w:pPr>
            <w:r>
              <w:rPr>
                <w:rFonts w:eastAsia="Calibri" w:ascii="Arial" w:hAnsi="Arial"/>
                <w:b/>
                <w:bCs/>
                <w:kern w:val="0"/>
                <w:sz w:val="20"/>
                <w:szCs w:val="20"/>
                <w:lang w:val="en-US" w:eastAsia="en-US" w:bidi="ar-SA"/>
              </w:rPr>
              <w:t>Segmento m</w:t>
            </w:r>
            <w:r>
              <w:rPr>
                <w:rFonts w:eastAsia="Calibri" w:ascii="Arial" w:hAnsi="Arial"/>
                <w:b/>
                <w:bCs/>
                <w:kern w:val="0"/>
                <w:sz w:val="20"/>
                <w:szCs w:val="20"/>
                <w:lang w:val="en-US" w:eastAsia="en-US" w:bidi="ar-SA"/>
              </w:rPr>
              <w:t>atmenys:</w:t>
            </w:r>
            <w:r>
              <w:rPr>
                <w:rFonts w:eastAsia="Calibri" w:ascii="Arial" w:hAnsi="Arial"/>
                <w:kern w:val="0"/>
                <w:sz w:val="20"/>
                <w:szCs w:val="20"/>
                <w:lang w:val="en-US" w:eastAsia="en-US" w:bidi="ar-SA"/>
              </w:rPr>
              <w:t xml:space="preserve"> </w:t>
            </w:r>
            <w:r>
              <w:rPr>
                <w:rFonts w:eastAsia="Calibri" w:ascii="Arial" w:hAnsi="Arial"/>
                <w:kern w:val="0"/>
                <w:sz w:val="20"/>
                <w:szCs w:val="20"/>
                <w:lang w:val="en-US" w:eastAsia="en-US" w:bidi="ar-SA"/>
              </w:rPr>
              <w:t>2000x1100 mm</w:t>
            </w:r>
          </w:p>
          <w:p>
            <w:pPr>
              <w:pStyle w:val="Normal"/>
              <w:suppressAutoHyphens w:val="true"/>
              <w:jc w:val="both"/>
              <w:rPr>
                <w:rFonts w:ascii="Arial" w:hAnsi="Arial" w:eastAsia="Times New Roman" w:cs="Arial"/>
                <w:sz w:val="22"/>
                <w:szCs w:val="22"/>
              </w:rPr>
            </w:pPr>
            <w:r>
              <w:rPr>
                <w:rFonts w:ascii="Arial" w:hAnsi="Arial"/>
                <w:b/>
                <w:bCs/>
                <w:sz w:val="20"/>
                <w:szCs w:val="20"/>
              </w:rPr>
              <w:t xml:space="preserve">Aprašas: </w:t>
            </w:r>
            <w:r>
              <w:rPr>
                <w:rFonts w:eastAsia="Calibri" w:cs="Times New Roman" w:ascii="Arial" w:hAnsi="Arial"/>
                <w:color w:val="auto"/>
                <w:kern w:val="0"/>
                <w:sz w:val="20"/>
                <w:szCs w:val="20"/>
                <w:lang w:val="en-US" w:eastAsia="en-US" w:bidi="ar-SA"/>
              </w:rPr>
              <w:t>Plieninės segmentinė vaikų žaidimų aikštelės t</w:t>
            </w:r>
            <w:r>
              <w:rPr>
                <w:rFonts w:eastAsia="Calibri" w:cs="Times New Roman" w:ascii="Arial" w:hAnsi="Arial"/>
                <w:b w:val="false"/>
                <w:bCs w:val="false"/>
                <w:color w:val="auto"/>
                <w:kern w:val="0"/>
                <w:sz w:val="20"/>
                <w:szCs w:val="20"/>
                <w:lang w:val="en-US" w:eastAsia="en-US" w:bidi="ar-SA"/>
              </w:rPr>
              <w:t xml:space="preserve">vorelė su varteliais </w:t>
            </w:r>
            <w:r>
              <w:rPr>
                <w:rFonts w:eastAsia="Calibri" w:cs="Times New Roman" w:ascii="Arial" w:hAnsi="Arial"/>
                <w:b w:val="false"/>
                <w:bCs w:val="false"/>
                <w:color w:val="auto"/>
                <w:kern w:val="0"/>
                <w:sz w:val="20"/>
                <w:szCs w:val="20"/>
                <w:lang w:val="en-US" w:eastAsia="en-US" w:bidi="ar-SA"/>
              </w:rPr>
              <w:t>analogiškais tvrelei</w:t>
            </w:r>
            <w:r>
              <w:rPr>
                <w:rFonts w:eastAsia="Calibri" w:cs="Times New Roman" w:ascii="Arial" w:hAnsi="Arial"/>
                <w:b w:val="false"/>
                <w:bCs w:val="false"/>
                <w:color w:val="auto"/>
                <w:kern w:val="0"/>
                <w:sz w:val="20"/>
                <w:szCs w:val="20"/>
                <w:lang w:val="en-US" w:eastAsia="en-US" w:bidi="ar-SA"/>
              </w:rPr>
              <w:t>.</w:t>
            </w:r>
            <w:r>
              <w:rPr>
                <w:rFonts w:eastAsia="Calibri" w:ascii="Arial" w:hAnsi="Arial"/>
                <w:b w:val="false"/>
                <w:bCs w:val="false"/>
                <w:sz w:val="20"/>
                <w:szCs w:val="20"/>
                <w:lang w:val="en-US"/>
              </w:rPr>
              <w:t xml:space="preserve"> Atitvaras sudarytas iš atskirų </w:t>
            </w:r>
            <w:r>
              <w:rPr>
                <w:rStyle w:val="Strong"/>
                <w:rFonts w:eastAsia="Calibri" w:ascii="Arial" w:hAnsi="Arial"/>
                <w:b w:val="false"/>
                <w:bCs w:val="false"/>
                <w:sz w:val="20"/>
                <w:szCs w:val="20"/>
                <w:lang w:val="en-US"/>
              </w:rPr>
              <w:t>segmentų</w:t>
            </w:r>
            <w:r>
              <w:rPr>
                <w:rFonts w:eastAsia="Calibri" w:ascii="Arial" w:hAnsi="Arial"/>
                <w:b w:val="false"/>
                <w:bCs w:val="false"/>
                <w:sz w:val="20"/>
                <w:szCs w:val="20"/>
                <w:lang w:val="en-US"/>
              </w:rPr>
              <w:t>, jungiamų prie vertikalių plieninių stulpų. S</w:t>
            </w:r>
            <w:r>
              <w:rPr>
                <w:rStyle w:val="Strong"/>
                <w:rFonts w:eastAsia="Calibri" w:ascii="Arial" w:hAnsi="Arial"/>
                <w:b w:val="false"/>
                <w:bCs w:val="false"/>
                <w:sz w:val="20"/>
                <w:szCs w:val="20"/>
                <w:lang w:val="en-US"/>
              </w:rPr>
              <w:t>uvirinta plieninė konstrukcija</w:t>
            </w:r>
            <w:r>
              <w:rPr>
                <w:rFonts w:eastAsia="Calibri" w:ascii="Arial" w:hAnsi="Arial"/>
                <w:b w:val="false"/>
                <w:bCs w:val="false"/>
                <w:sz w:val="20"/>
                <w:szCs w:val="20"/>
                <w:lang w:val="en-US"/>
              </w:rPr>
              <w:t>, sudaryta iš:</w:t>
            </w:r>
          </w:p>
          <w:p>
            <w:pPr>
              <w:pStyle w:val="Normal"/>
              <w:suppressAutoHyphens w:val="true"/>
              <w:jc w:val="both"/>
              <w:rPr>
                <w:rFonts w:ascii="Arial" w:hAnsi="Arial" w:eastAsia="Calibri"/>
                <w:b w:val="false"/>
                <w:bCs w:val="false"/>
                <w:sz w:val="20"/>
                <w:szCs w:val="20"/>
                <w:lang w:val="en-US"/>
              </w:rPr>
            </w:pPr>
            <w:r>
              <w:rPr>
                <w:rFonts w:eastAsia="Calibri" w:ascii="Arial" w:hAnsi="Arial"/>
                <w:b w:val="false"/>
                <w:bCs w:val="false"/>
                <w:sz w:val="20"/>
                <w:szCs w:val="20"/>
                <w:lang w:val="en-US"/>
              </w:rPr>
              <w:t>- plieninių vamzdžių (rėmas, stulpai, horizontalūs elementai);</w:t>
            </w:r>
          </w:p>
          <w:p>
            <w:pPr>
              <w:pStyle w:val="Normal"/>
              <w:suppressAutoHyphens w:val="true"/>
              <w:jc w:val="both"/>
              <w:rPr/>
            </w:pPr>
            <w:r>
              <w:rPr>
                <w:rFonts w:eastAsia="Calibri" w:ascii="Arial" w:hAnsi="Arial"/>
                <w:b w:val="false"/>
                <w:bCs w:val="false"/>
                <w:sz w:val="20"/>
                <w:szCs w:val="20"/>
                <w:lang w:val="en-US"/>
              </w:rPr>
              <w:t xml:space="preserve">- plieninės </w:t>
            </w:r>
            <w:r>
              <w:rPr>
                <w:rStyle w:val="Strong"/>
                <w:rFonts w:eastAsia="Calibri" w:ascii="Arial" w:hAnsi="Arial"/>
                <w:b w:val="false"/>
                <w:bCs w:val="false"/>
                <w:sz w:val="20"/>
                <w:szCs w:val="20"/>
                <w:lang w:val="en-US"/>
              </w:rPr>
              <w:t>plokštės</w:t>
            </w:r>
            <w:r>
              <w:rPr>
                <w:rFonts w:eastAsia="Calibri" w:ascii="Arial" w:hAnsi="Arial"/>
                <w:b w:val="false"/>
                <w:bCs w:val="false"/>
                <w:sz w:val="20"/>
                <w:szCs w:val="20"/>
                <w:lang w:val="en-US"/>
              </w:rPr>
              <w:t>, integruotos į segmento dalį.</w:t>
            </w:r>
          </w:p>
          <w:p>
            <w:pPr>
              <w:pStyle w:val="Normal"/>
              <w:suppressAutoHyphens w:val="true"/>
              <w:jc w:val="both"/>
              <w:rPr>
                <w:rFonts w:ascii="Arial" w:hAnsi="Arial" w:eastAsia="Calibri"/>
                <w:sz w:val="20"/>
                <w:szCs w:val="20"/>
                <w:lang w:val="en-US"/>
              </w:rPr>
            </w:pPr>
            <w:r>
              <w:rPr>
                <w:rFonts w:eastAsia="Calibri" w:ascii="Arial" w:hAnsi="Arial"/>
                <w:b w:val="false"/>
                <w:bCs w:val="false"/>
                <w:sz w:val="20"/>
                <w:szCs w:val="20"/>
                <w:lang w:val="en-US"/>
              </w:rPr>
              <w:t xml:space="preserve">Spalva tikslinama DP. </w:t>
            </w:r>
            <w:r>
              <w:rPr>
                <w:rFonts w:eastAsia="Calibri" w:ascii="Arial" w:hAnsi="Arial"/>
                <w:b w:val="false"/>
                <w:bCs w:val="false"/>
                <w:sz w:val="20"/>
                <w:szCs w:val="20"/>
                <w:lang w:val="en-US"/>
              </w:rPr>
              <w:t>T</w:t>
            </w:r>
            <w:r>
              <w:rPr>
                <w:rFonts w:eastAsia="Calibri" w:ascii="Arial" w:hAnsi="Arial"/>
                <w:sz w:val="20"/>
                <w:szCs w:val="20"/>
                <w:lang w:val="en-US"/>
              </w:rPr>
              <w:t>uri būti užtikrinta, kad</w:t>
            </w:r>
            <w:r>
              <w:rPr>
                <w:rFonts w:eastAsia="Calibri" w:ascii="Arial" w:hAnsi="Arial"/>
                <w:b w:val="false"/>
                <w:bCs w:val="false"/>
                <w:sz w:val="20"/>
                <w:szCs w:val="20"/>
                <w:lang w:val="en-US"/>
              </w:rPr>
              <w:t xml:space="preserve"> </w:t>
            </w:r>
            <w:r>
              <w:rPr>
                <w:rStyle w:val="Strong"/>
                <w:rFonts w:eastAsia="Calibri" w:ascii="Arial" w:hAnsi="Arial"/>
                <w:b w:val="false"/>
                <w:bCs w:val="false"/>
                <w:sz w:val="20"/>
                <w:szCs w:val="20"/>
                <w:lang w:val="en-US"/>
              </w:rPr>
              <w:t>tarpai tarp elementų</w:t>
            </w:r>
            <w:r>
              <w:rPr>
                <w:rFonts w:eastAsia="Calibri" w:ascii="Arial" w:hAnsi="Arial"/>
                <w:b w:val="false"/>
                <w:bCs w:val="false"/>
                <w:sz w:val="20"/>
                <w:szCs w:val="20"/>
                <w:lang w:val="en-US"/>
              </w:rPr>
              <w:t xml:space="preserve"> </w:t>
            </w:r>
            <w:r>
              <w:rPr>
                <w:rFonts w:eastAsia="Calibri" w:ascii="Arial" w:hAnsi="Arial"/>
                <w:sz w:val="20"/>
                <w:szCs w:val="20"/>
                <w:lang w:val="en-US"/>
              </w:rPr>
              <w:t xml:space="preserve">neleistų įstrigti vaikų galvai / galūnėms (vadovautis galiojančiais saugumo reikalavimais, jei atitvaras įrengiamas šalia vaikų erdvių); </w:t>
            </w:r>
            <w:r>
              <w:rPr>
                <w:rFonts w:eastAsia="Calibri" w:ascii="Arial" w:hAnsi="Arial"/>
                <w:sz w:val="20"/>
                <w:szCs w:val="20"/>
                <w:lang w:val="en-US"/>
              </w:rPr>
              <w:t>K</w:t>
            </w:r>
            <w:r>
              <w:rPr>
                <w:rFonts w:eastAsia="Calibri" w:ascii="Arial" w:hAnsi="Arial"/>
                <w:sz w:val="20"/>
                <w:szCs w:val="20"/>
                <w:lang w:val="en-US"/>
              </w:rPr>
              <w:t>onstrukcija turi būti pakankamai standi, kad neišsikraipytų nuo įprastų eksploatacinių apkrovų (atsirėmimo, nestiprių smūgių).</w:t>
            </w:r>
          </w:p>
          <w:p>
            <w:pPr>
              <w:pStyle w:val="Normal"/>
              <w:suppressAutoHyphens w:val="true"/>
              <w:spacing w:before="0" w:after="200"/>
              <w:jc w:val="both"/>
              <w:rPr/>
            </w:pPr>
            <w:r>
              <w:rPr>
                <w:rFonts w:eastAsia="Calibri" w:ascii="Arial" w:hAnsi="Arial"/>
                <w:sz w:val="20"/>
                <w:szCs w:val="20"/>
                <w:lang w:val="en-US"/>
              </w:rPr>
              <w:t xml:space="preserve">Tvoros tvirtinama prie betoninio pamato. </w:t>
            </w:r>
          </w:p>
        </w:tc>
      </w:tr>
    </w:tbl>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r>
    </w:p>
    <w:p>
      <w:pPr>
        <w:pStyle w:val="Paprtekstas"/>
        <w:widowControl/>
        <w:suppressAutoHyphens w:val="true"/>
        <w:bidi w:val="0"/>
        <w:spacing w:lineRule="auto" w:line="276"/>
        <w:rPr>
          <w:color w:val="auto"/>
        </w:rPr>
      </w:pPr>
      <w:r>
        <w:rPr>
          <w:rFonts w:eastAsia="Times New Roman" w:cs="Times New Roman"/>
          <w:b/>
          <w:bCs/>
          <w:color w:val="auto"/>
          <w:kern w:val="0"/>
          <w:sz w:val="22"/>
          <w:szCs w:val="22"/>
          <w:lang w:val="lt-LT" w:eastAsia="en-US" w:bidi="ar-SA"/>
        </w:rPr>
        <w:t>4.3. Apvalus suolas S-02</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Suolai susideda iš metalo konstrukcijos, sėdimoji dalis pagaminta iš</w:t>
      </w:r>
      <w:r>
        <w:rPr>
          <w:rFonts w:eastAsia="Times New Roman" w:cs="Times New Roman"/>
          <w:color w:val="FF0000"/>
          <w:kern w:val="0"/>
          <w:sz w:val="22"/>
          <w:szCs w:val="22"/>
          <w:lang w:val="lt-LT" w:eastAsia="en-US" w:bidi="ar-SA"/>
        </w:rPr>
        <w:t xml:space="preserve"> </w:t>
      </w:r>
      <w:r>
        <w:rPr>
          <w:rFonts w:eastAsia="Times New Roman" w:cs="Times New Roman"/>
          <w:color w:val="auto"/>
          <w:kern w:val="0"/>
          <w:sz w:val="20"/>
          <w:szCs w:val="24"/>
          <w:lang w:val="lt-LT" w:eastAsia="en-US" w:bidi="ar-SA"/>
        </w:rPr>
        <w:t xml:space="preserve">bangkirai kietmedžio. Bangkirai mediena ypač kieta ir atlaiko ekstremaliai dideles įtampas. Skersiniai nedažyti. Skersiniai laikui bėgant keičia spalvą į pilką, bet nepraranda atsparumo agresyviai aplinkai. Medienoje nesiveisia vabzdžiai ir grybelis Suolai daromi pagal brėžinius. </w:t>
      </w:r>
    </w:p>
    <w:p>
      <w:pPr>
        <w:pStyle w:val="Paprtekstas"/>
        <w:widowControl/>
        <w:suppressAutoHyphens w:val="true"/>
        <w:bidi w:val="0"/>
        <w:spacing w:lineRule="auto" w:line="276"/>
        <w:ind w:hanging="0"/>
        <w:rPr>
          <w:color w:val="auto"/>
        </w:rPr>
      </w:pPr>
      <w:r>
        <w:rPr>
          <w:rFonts w:eastAsia="Times New Roman" w:cs="Times New Roman"/>
          <w:color w:val="auto"/>
          <w:kern w:val="0"/>
          <w:szCs w:val="24"/>
          <w:lang w:val="lt-LT" w:eastAsia="en-US" w:bidi="ar-SA"/>
        </w:rPr>
        <w:tab/>
        <w:t>Metalo konstrukcija montuojama iš apvalaus profilio kojų, valcuoto dvitėjo profilio ir kronšteinų.</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Elementai tarpusavyje tvirinami ar suveržiami varžtais. Konstrukcija cinkuojama, dažoma milteliniu būdu, spalva – antracitas. Matmenys, kiekiai tikslinami Darbo projekto metu. Suolo kojos tvirtinamos prie betoninių pamatų.</w:t>
      </w:r>
    </w:p>
    <w:p>
      <w:pPr>
        <w:pStyle w:val="Paprtekstas"/>
        <w:widowControl/>
        <w:suppressAutoHyphens w:val="true"/>
        <w:bidi w:val="0"/>
        <w:spacing w:lineRule="auto" w:line="276"/>
        <w:rPr>
          <w:color w:val="auto"/>
        </w:rPr>
      </w:pPr>
      <w:r>
        <w:rPr>
          <w:rFonts w:eastAsia="Times New Roman" w:cs="Times New Roman"/>
          <w:b/>
          <w:bCs/>
          <w:color w:val="auto"/>
          <w:kern w:val="0"/>
          <w:sz w:val="22"/>
          <w:szCs w:val="22"/>
          <w:lang w:val="lt-LT" w:eastAsia="en-US" w:bidi="ar-SA"/>
        </w:rPr>
        <w:t>4.4. Rytinės tribūnos suolai ES-00</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 xml:space="preserve">Rytinės tribūnos suolai yra g/b konstrukcijos su medžio-plastiko kompozito (WPC) sėdimaja dalimi, tvirtinama prie g/b konstrukcijos nerūdijančio plieno varžtais. Betono suoliuko karkasas armuotas metalo tinklu ir armatūra.  </w:t>
      </w:r>
      <w:r>
        <w:rPr>
          <w:rFonts w:eastAsia="Times New Roman" w:cs="Times New Roman"/>
          <w:b w:val="false"/>
          <w:i w:val="false"/>
          <w:caps w:val="false"/>
          <w:smallCaps w:val="false"/>
          <w:color w:val="000000"/>
          <w:spacing w:val="0"/>
          <w:kern w:val="0"/>
          <w:sz w:val="20"/>
          <w:szCs w:val="20"/>
          <w:shd w:fill="auto" w:val="clear"/>
          <w:lang w:val="lt-LT" w:eastAsia="en-US" w:bidi="ar-SA"/>
        </w:rPr>
        <w:t xml:space="preserve">Išoriniai suolo kampai užapvalinti R5. Betonas </w:t>
      </w:r>
      <w:r>
        <w:rPr>
          <w:rFonts w:eastAsia="Times New Roman" w:cs="Times New Roman"/>
          <w:b w:val="false"/>
          <w:i w:val="false"/>
          <w:caps w:val="false"/>
          <w:smallCaps w:val="false"/>
          <w:strike w:val="false"/>
          <w:dstrike w:val="false"/>
          <w:outline w:val="false"/>
          <w:shadow w:val="false"/>
          <w:color w:val="000000"/>
          <w:spacing w:val="0"/>
          <w:kern w:val="0"/>
          <w:sz w:val="20"/>
          <w:szCs w:val="20"/>
          <w:u w:val="none"/>
          <w:shd w:fill="auto" w:val="clear"/>
          <w:em w:val="none"/>
          <w:lang w:val="lt-LT" w:eastAsia="en-US" w:bidi="ar-SA"/>
        </w:rPr>
        <w:t xml:space="preserve">≥ </w:t>
      </w:r>
      <w:r>
        <w:rPr>
          <w:rFonts w:eastAsia="Times New Roman" w:cs="Times New Roman"/>
          <w:b w:val="false"/>
          <w:i w:val="false"/>
          <w:caps w:val="false"/>
          <w:smallCaps w:val="false"/>
          <w:color w:val="000000"/>
          <w:spacing w:val="0"/>
          <w:kern w:val="0"/>
          <w:sz w:val="20"/>
          <w:szCs w:val="20"/>
          <w:shd w:fill="auto" w:val="clear"/>
          <w:lang w:val="lt-LT" w:eastAsia="en-US" w:bidi="ar-SA"/>
        </w:rPr>
        <w:t xml:space="preserve">C30 klasės su papildomais priedais, gerinančiais atsparumą atmosferos poveikiui.  Paviršius dengtas antigrafitine danga. Suolai tvirtinimas į dangą detalizuojamas DP. </w:t>
      </w:r>
    </w:p>
    <w:p>
      <w:pPr>
        <w:pStyle w:val="Paprtekstas"/>
        <w:widowControl/>
        <w:suppressAutoHyphens w:val="true"/>
        <w:bidi w:val="0"/>
        <w:spacing w:lineRule="auto" w:line="276"/>
        <w:rPr>
          <w:color w:val="auto"/>
        </w:rPr>
      </w:pPr>
      <w:r>
        <w:rPr>
          <w:rFonts w:eastAsia="Times New Roman" w:cs="Times New Roman"/>
          <w:b w:val="false"/>
          <w:i/>
          <w:iCs/>
          <w:caps w:val="false"/>
          <w:smallCaps w:val="false"/>
          <w:color w:val="000000"/>
          <w:spacing w:val="0"/>
          <w:kern w:val="0"/>
          <w:sz w:val="20"/>
          <w:szCs w:val="24"/>
          <w:u w:val="single"/>
          <w:shd w:fill="auto" w:val="clear"/>
          <w:lang w:val="lt-LT" w:eastAsia="en-US" w:bidi="ar-SA"/>
        </w:rPr>
        <w:t>Armatūrinis plienas</w:t>
      </w:r>
    </w:p>
    <w:p>
      <w:pPr>
        <w:pStyle w:val="Paprtekstas"/>
        <w:widowControl/>
        <w:suppressAutoHyphens w:val="true"/>
        <w:bidi w:val="0"/>
        <w:spacing w:lineRule="auto" w:line="276"/>
        <w:rPr>
          <w:color w:val="auto"/>
        </w:rPr>
      </w:pPr>
      <w:r>
        <w:rPr>
          <w:rFonts w:eastAsia="Times New Roman" w:cs="Times New Roman"/>
          <w:b w:val="false"/>
          <w:i w:val="false"/>
          <w:caps w:val="false"/>
          <w:smallCaps w:val="false"/>
          <w:color w:val="000000"/>
          <w:spacing w:val="0"/>
          <w:kern w:val="0"/>
          <w:szCs w:val="20"/>
          <w:shd w:fill="auto" w:val="clear"/>
          <w:lang w:val="lt-LT" w:eastAsia="en-US" w:bidi="ar-SA"/>
        </w:rPr>
        <w:t>Visos betono armavimui naudojamo armatūrinio plieno savybės turi atitikti LST EN ISO 156301:2003; LST EN ISO 15630-2:2003 reikalavimus</w:t>
      </w:r>
    </w:p>
    <w:p>
      <w:pPr>
        <w:pStyle w:val="Caption"/>
        <w:keepNext w:val="true"/>
        <w:rPr>
          <w:color w:val="auto"/>
        </w:rPr>
      </w:pPr>
      <w:r>
        <w:rPr>
          <w:b w:val="false"/>
          <w:bCs w:val="false"/>
          <w:color w:val="auto"/>
        </w:rPr>
        <w:t>Armatūrą gelžbetoninių konstrukcijų armavimui</w:t>
      </w:r>
    </w:p>
    <w:tbl>
      <w:tblPr>
        <w:tblW w:w="5000" w:type="pct"/>
        <w:jc w:val="left"/>
        <w:tblInd w:w="55" w:type="dxa"/>
        <w:tblLayout w:type="fixed"/>
        <w:tblCellMar>
          <w:top w:w="55" w:type="dxa"/>
          <w:left w:w="55" w:type="dxa"/>
          <w:bottom w:w="55" w:type="dxa"/>
          <w:right w:w="55" w:type="dxa"/>
        </w:tblCellMar>
      </w:tblPr>
      <w:tblGrid>
        <w:gridCol w:w="3401"/>
        <w:gridCol w:w="3402"/>
        <w:gridCol w:w="3402"/>
      </w:tblGrid>
      <w:tr>
        <w:trPr/>
        <w:tc>
          <w:tcPr>
            <w:tcW w:w="3401" w:type="dxa"/>
            <w:tcBorders>
              <w:top w:val="single" w:sz="4" w:space="0" w:color="000000"/>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Armatūra, klasė</w:t>
            </w:r>
          </w:p>
        </w:tc>
        <w:tc>
          <w:tcPr>
            <w:tcW w:w="3402" w:type="dxa"/>
            <w:tcBorders>
              <w:top w:val="single" w:sz="4" w:space="0" w:color="000000"/>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Charakteristinis stipris fyk (f0,2k)</w:t>
            </w:r>
          </w:p>
        </w:tc>
        <w:tc>
          <w:tcPr>
            <w:tcW w:w="3402" w:type="dxa"/>
            <w:tcBorders>
              <w:top w:val="single" w:sz="4" w:space="0" w:color="000000"/>
              <w:left w:val="single" w:sz="4" w:space="0" w:color="000000"/>
              <w:bottom w:val="single" w:sz="4" w:space="0" w:color="000000"/>
              <w:right w:val="single" w:sz="4" w:space="0" w:color="000000"/>
            </w:tcBorders>
          </w:tcPr>
          <w:p>
            <w:pPr>
              <w:pStyle w:val="Lentelsturinys"/>
              <w:spacing w:before="0" w:after="200"/>
              <w:rPr>
                <w:color w:val="auto"/>
              </w:rPr>
            </w:pPr>
            <w:r>
              <w:rPr>
                <w:rFonts w:ascii="Arial" w:hAnsi="Arial"/>
                <w:color w:val="auto"/>
                <w:sz w:val="16"/>
                <w:szCs w:val="16"/>
              </w:rPr>
              <w:t>Skaičiuotinis stipris fyd (f0,2d)</w:t>
            </w:r>
          </w:p>
        </w:tc>
      </w:tr>
      <w:tr>
        <w:trPr/>
        <w:tc>
          <w:tcPr>
            <w:tcW w:w="340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S240 (ø5,5-40 mm)</w:t>
            </w:r>
          </w:p>
        </w:tc>
        <w:tc>
          <w:tcPr>
            <w:tcW w:w="3402"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240</w:t>
            </w:r>
          </w:p>
        </w:tc>
        <w:tc>
          <w:tcPr>
            <w:tcW w:w="3402" w:type="dxa"/>
            <w:tcBorders>
              <w:left w:val="single" w:sz="4" w:space="0" w:color="000000"/>
              <w:bottom w:val="single" w:sz="4" w:space="0" w:color="000000"/>
              <w:right w:val="single" w:sz="4" w:space="0" w:color="000000"/>
            </w:tcBorders>
          </w:tcPr>
          <w:p>
            <w:pPr>
              <w:pStyle w:val="Lentelsturinys"/>
              <w:spacing w:before="0" w:after="200"/>
              <w:rPr>
                <w:color w:val="auto"/>
              </w:rPr>
            </w:pPr>
            <w:r>
              <w:rPr>
                <w:rFonts w:ascii="Arial" w:hAnsi="Arial"/>
                <w:color w:val="auto"/>
                <w:sz w:val="16"/>
                <w:szCs w:val="16"/>
              </w:rPr>
              <w:t>218</w:t>
            </w:r>
          </w:p>
        </w:tc>
      </w:tr>
      <w:tr>
        <w:trPr/>
        <w:tc>
          <w:tcPr>
            <w:tcW w:w="340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S400 (ø6-40 mm)</w:t>
            </w:r>
          </w:p>
        </w:tc>
        <w:tc>
          <w:tcPr>
            <w:tcW w:w="3402"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400</w:t>
            </w:r>
          </w:p>
        </w:tc>
        <w:tc>
          <w:tcPr>
            <w:tcW w:w="3402" w:type="dxa"/>
            <w:tcBorders>
              <w:left w:val="single" w:sz="4" w:space="0" w:color="000000"/>
              <w:bottom w:val="single" w:sz="4" w:space="0" w:color="000000"/>
              <w:right w:val="single" w:sz="4" w:space="0" w:color="000000"/>
            </w:tcBorders>
          </w:tcPr>
          <w:p>
            <w:pPr>
              <w:pStyle w:val="Lentelsturinys"/>
              <w:spacing w:before="0" w:after="200"/>
              <w:rPr>
                <w:color w:val="auto"/>
              </w:rPr>
            </w:pPr>
            <w:r>
              <w:rPr>
                <w:rFonts w:ascii="Arial" w:hAnsi="Arial"/>
                <w:color w:val="auto"/>
                <w:sz w:val="16"/>
                <w:szCs w:val="16"/>
              </w:rPr>
              <w:t>365</w:t>
            </w:r>
          </w:p>
        </w:tc>
      </w:tr>
      <w:tr>
        <w:trPr/>
        <w:tc>
          <w:tcPr>
            <w:tcW w:w="3401"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S500 (ø3-40 mm)</w:t>
            </w:r>
          </w:p>
        </w:tc>
        <w:tc>
          <w:tcPr>
            <w:tcW w:w="3402" w:type="dxa"/>
            <w:tcBorders>
              <w:left w:val="single" w:sz="4" w:space="0" w:color="000000"/>
              <w:bottom w:val="single" w:sz="4" w:space="0" w:color="000000"/>
            </w:tcBorders>
          </w:tcPr>
          <w:p>
            <w:pPr>
              <w:pStyle w:val="Lentelsturinys"/>
              <w:spacing w:before="0" w:after="200"/>
              <w:rPr>
                <w:color w:val="auto"/>
              </w:rPr>
            </w:pPr>
            <w:r>
              <w:rPr>
                <w:rFonts w:ascii="Arial" w:hAnsi="Arial"/>
                <w:color w:val="auto"/>
                <w:sz w:val="16"/>
                <w:szCs w:val="16"/>
              </w:rPr>
              <w:t>500</w:t>
            </w:r>
          </w:p>
        </w:tc>
        <w:tc>
          <w:tcPr>
            <w:tcW w:w="3402" w:type="dxa"/>
            <w:tcBorders>
              <w:left w:val="single" w:sz="4" w:space="0" w:color="000000"/>
              <w:bottom w:val="single" w:sz="4" w:space="0" w:color="000000"/>
              <w:right w:val="single" w:sz="4" w:space="0" w:color="000000"/>
            </w:tcBorders>
          </w:tcPr>
          <w:p>
            <w:pPr>
              <w:pStyle w:val="Lentelsturinys"/>
              <w:spacing w:before="0" w:after="200"/>
              <w:rPr>
                <w:color w:val="auto"/>
              </w:rPr>
            </w:pPr>
            <w:r>
              <w:rPr>
                <w:rFonts w:ascii="Arial" w:hAnsi="Arial"/>
                <w:color w:val="auto"/>
                <w:sz w:val="16"/>
                <w:szCs w:val="16"/>
              </w:rPr>
              <w:t>450 (410)</w:t>
            </w:r>
          </w:p>
        </w:tc>
      </w:tr>
    </w:tbl>
    <w:p>
      <w:pPr>
        <w:pStyle w:val="Paprtekstas"/>
        <w:widowControl/>
        <w:suppressAutoHyphens w:val="true"/>
        <w:bidi w:val="0"/>
        <w:spacing w:lineRule="auto" w:line="276"/>
        <w:rPr>
          <w:color w:val="auto"/>
        </w:rPr>
      </w:pPr>
      <w:r>
        <w:rPr>
          <w:rFonts w:eastAsia="Times New Roman" w:cs="Times New Roman"/>
          <w:b w:val="false"/>
          <w:i w:val="false"/>
          <w:caps w:val="false"/>
          <w:smallCaps w:val="false"/>
          <w:color w:val="000000"/>
          <w:spacing w:val="0"/>
          <w:kern w:val="0"/>
          <w:szCs w:val="20"/>
          <w:shd w:fill="auto" w:val="clear"/>
          <w:lang w:val="lt-LT" w:eastAsia="en-US" w:bidi="ar-SA"/>
        </w:rPr>
        <w:t>Alternatyvai gali būti naudojamas kokių nors kitų standartų plienas, kurio fizinės ir mechaninės savybės ne blogesnės negu nurodytos aukščiau.</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Kiekvienas gaminys turi būti gaminamas pagal pateiktus brėžinius.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Gaminiai surenkami gamykloje ir montuojami vietoje.</w:t>
      </w:r>
    </w:p>
    <w:p>
      <w:pPr>
        <w:pStyle w:val="Paprtekstas"/>
        <w:widowControl/>
        <w:suppressAutoHyphens w:val="true"/>
        <w:bidi w:val="0"/>
        <w:spacing w:lineRule="auto" w:line="276"/>
        <w:ind w:hanging="0"/>
        <w:rPr>
          <w:color w:val="auto"/>
        </w:rPr>
      </w:pPr>
      <w:r>
        <w:rPr>
          <w:rFonts w:eastAsia="Times New Roman" w:cs="Times New Roman"/>
          <w:b w:val="false"/>
          <w:bCs w:val="false"/>
          <w:i/>
          <w:iCs/>
          <w:color w:val="auto"/>
          <w:kern w:val="0"/>
          <w:szCs w:val="24"/>
          <w:u w:val="single"/>
          <w:lang w:val="lt-LT" w:eastAsia="en-US" w:bidi="ar-SA"/>
        </w:rPr>
        <w:t>Medžio-plastiko kompozito (WPC) pilnavidurių lentų sedimoji dalis</w:t>
      </w:r>
    </w:p>
    <w:p>
      <w:pPr>
        <w:pStyle w:val="Paprtekstas"/>
        <w:widowControl/>
        <w:suppressAutoHyphens w:val="true"/>
        <w:bidi w:val="0"/>
        <w:spacing w:lineRule="auto" w:line="276"/>
        <w:rPr>
          <w:color w:val="auto"/>
        </w:rPr>
      </w:pPr>
      <w:r>
        <w:rPr>
          <w:rFonts w:eastAsia="Times New Roman" w:cs="Times New Roman"/>
          <w:b w:val="false"/>
          <w:i w:val="false"/>
          <w:caps w:val="false"/>
          <w:smallCaps w:val="false"/>
          <w:color w:val="000000"/>
          <w:spacing w:val="0"/>
          <w:kern w:val="0"/>
          <w:szCs w:val="20"/>
          <w:shd w:fill="auto" w:val="clear"/>
          <w:lang w:val="lt-LT" w:eastAsia="en-US" w:bidi="ar-SA"/>
        </w:rPr>
        <w:t>Sudaryta iš pilnavidurių medžio-plastiko kompozito lentų:</w:t>
      </w:r>
    </w:p>
    <w:p>
      <w:pPr>
        <w:pStyle w:val="Paprtekstas"/>
        <w:widowControl/>
        <w:suppressAutoHyphens w:val="true"/>
        <w:bidi w:val="0"/>
        <w:spacing w:lineRule="auto" w:line="276"/>
        <w:rPr>
          <w:rFonts w:eastAsia="Times New Roman" w:cs="Times New Roman"/>
          <w:b w:val="false"/>
          <w:i w:val="false"/>
          <w:i w:val="false"/>
          <w:caps w:val="false"/>
          <w:smallCaps w:val="false"/>
          <w:color w:val="auto"/>
          <w:spacing w:val="0"/>
          <w:kern w:val="0"/>
          <w:szCs w:val="20"/>
          <w:shd w:fill="auto" w:val="clear"/>
          <w:lang w:val="lt-LT" w:eastAsia="en-US" w:bidi="ar-SA"/>
        </w:rPr>
      </w:pPr>
      <w:r>
        <w:rPr>
          <w:rFonts w:eastAsia="Times New Roman" w:cs="Times New Roman"/>
          <w:b w:val="false"/>
          <w:i w:val="false"/>
          <w:caps w:val="false"/>
          <w:smallCaps w:val="false"/>
          <w:color w:val="auto"/>
          <w:spacing w:val="0"/>
          <w:kern w:val="0"/>
          <w:szCs w:val="20"/>
          <w:shd w:fill="auto" w:val="clear"/>
          <w:lang w:val="lt-LT" w:eastAsia="en-US" w:bidi="ar-SA"/>
        </w:rPr>
      </w:r>
    </w:p>
    <w:p>
      <w:pPr>
        <w:pStyle w:val="Paprtekstas"/>
        <w:widowControl/>
        <w:suppressAutoHyphens w:val="true"/>
        <w:bidi w:val="0"/>
        <w:spacing w:lineRule="auto" w:line="276"/>
        <w:rPr>
          <w:color w:val="auto"/>
        </w:rPr>
      </w:pPr>
      <w:r>
        <w:rPr>
          <w:rFonts w:eastAsia="Times New Roman" w:cs="Times New Roman"/>
          <w:b w:val="false"/>
          <w:i w:val="false"/>
          <w:caps w:val="false"/>
          <w:smallCaps w:val="false"/>
          <w:color w:val="000000"/>
          <w:spacing w:val="0"/>
          <w:kern w:val="0"/>
          <w:szCs w:val="20"/>
          <w:shd w:fill="auto" w:val="clear"/>
          <w:lang w:val="lt-LT" w:eastAsia="en-US" w:bidi="ar-SA"/>
        </w:rPr>
        <w:t>Medienos ir plastiko kompozito pilnavidures lentas sudaro medienos arba bambuko pluoštas ir termoplastikas – perdirbtas didelio tankio polietilenas. Medžiaga turi medžio bei plastiko savybių: atsparumą korozijai ir natūralaus medžio išvaizdą, yra patvari ir ilgaamžė. WPC lentos turi atitinkti ISO9001:2008, ISO14001:2004, taip pat CE, TÜV-SÜD, ASTM, INTERTEK reikalavimus / standartus. WPC medžio ir plastiko kompozito pilanvidurių lentų sudėtis: 50-60% medienos, 40-30% plastikų, 10% kitų priedų Lentos profilis -  57x32mm., Ilgis – 2m. Spalva tikslinama DP.</w:t>
      </w:r>
    </w:p>
    <w:p>
      <w:pPr>
        <w:pStyle w:val="Paprtekstas"/>
        <w:widowControl/>
        <w:suppressAutoHyphens w:val="true"/>
        <w:bidi w:val="0"/>
        <w:spacing w:lineRule="auto" w:line="276"/>
        <w:rPr>
          <w:color w:val="auto"/>
        </w:rPr>
      </w:pPr>
      <w:r>
        <w:rPr>
          <w:rFonts w:eastAsia="Times New Roman" w:cs="Times New Roman"/>
          <w:b w:val="false"/>
          <w:i w:val="false"/>
          <w:caps w:val="false"/>
          <w:smallCaps w:val="false"/>
          <w:color w:val="000000"/>
          <w:spacing w:val="0"/>
          <w:kern w:val="0"/>
          <w:szCs w:val="20"/>
          <w:shd w:fill="auto" w:val="clear"/>
          <w:lang w:val="lt-LT" w:eastAsia="en-US" w:bidi="ar-SA"/>
        </w:rPr>
        <w:t>Lentos yra prisukamos prie 3mm storio nerūdijančio plieno juostos, juostos dedamos kas ~1m, vienas gaminys turi turėti bent 2 juostas iš abiejų pusių, tarp lentų paliekami &gt;= 15mm tarpai. Surinktas gaminys tvirtinamas prie g/b konstrukcijos naudojant nerūdijančio plieno varžtus. Tarp gaminių paliekami &gt;=5mm tarpai.</w:t>
      </w:r>
    </w:p>
    <w:p>
      <w:pPr>
        <w:pStyle w:val="Paprtekstas"/>
        <w:widowControl/>
        <w:suppressAutoHyphens w:val="true"/>
        <w:bidi w:val="0"/>
        <w:spacing w:lineRule="auto" w:line="276"/>
        <w:rPr>
          <w:rFonts w:eastAsia="Times New Roman" w:cs="Times New Roman"/>
          <w:b w:val="false"/>
          <w:i w:val="false"/>
          <w:i w:val="false"/>
          <w:caps w:val="false"/>
          <w:smallCaps w:val="false"/>
          <w:color w:val="auto"/>
          <w:spacing w:val="0"/>
          <w:kern w:val="0"/>
          <w:szCs w:val="20"/>
          <w:shd w:fill="auto" w:val="clear"/>
          <w:lang w:val="lt-LT" w:eastAsia="en-US" w:bidi="ar-SA"/>
        </w:rPr>
      </w:pPr>
      <w:r>
        <w:rPr>
          <w:rFonts w:eastAsia="Times New Roman" w:cs="Times New Roman"/>
          <w:b w:val="false"/>
          <w:i w:val="false"/>
          <w:caps w:val="false"/>
          <w:smallCaps w:val="false"/>
          <w:color w:val="auto"/>
          <w:spacing w:val="0"/>
          <w:kern w:val="0"/>
          <w:szCs w:val="20"/>
          <w:shd w:fill="auto" w:val="clear"/>
          <w:lang w:val="lt-LT" w:eastAsia="en-US" w:bidi="ar-SA"/>
        </w:rPr>
        <w:drawing>
          <wp:anchor behindDoc="0" distT="0" distB="0" distL="0" distR="0" simplePos="0" locked="0" layoutInCell="0" allowOverlap="1" relativeHeight="182">
            <wp:simplePos x="0" y="0"/>
            <wp:positionH relativeFrom="column">
              <wp:posOffset>4878705</wp:posOffset>
            </wp:positionH>
            <wp:positionV relativeFrom="paragraph">
              <wp:posOffset>49530</wp:posOffset>
            </wp:positionV>
            <wp:extent cx="1601470" cy="1659890"/>
            <wp:effectExtent l="0" t="0" r="0" b="0"/>
            <wp:wrapSquare wrapText="largest"/>
            <wp:docPr id="89" name="Image7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Image7 Copy 1"/>
                    <pic:cNvPicPr>
                      <a:picLocks noChangeAspect="1" noChangeArrowheads="1"/>
                    </pic:cNvPicPr>
                  </pic:nvPicPr>
                  <pic:blipFill>
                    <a:blip r:embed="rId91"/>
                    <a:stretch>
                      <a:fillRect/>
                    </a:stretch>
                  </pic:blipFill>
                  <pic:spPr bwMode="auto">
                    <a:xfrm>
                      <a:off x="0" y="0"/>
                      <a:ext cx="1601470" cy="1659890"/>
                    </a:xfrm>
                    <a:prstGeom prst="rect">
                      <a:avLst/>
                    </a:prstGeom>
                    <a:noFill/>
                  </pic:spPr>
                </pic:pic>
              </a:graphicData>
            </a:graphic>
          </wp:anchor>
        </w:drawing>
      </w:r>
    </w:p>
    <w:p>
      <w:pPr>
        <w:pStyle w:val="Paprtekstas"/>
        <w:widowControl/>
        <w:suppressAutoHyphens w:val="true"/>
        <w:bidi w:val="0"/>
        <w:spacing w:lineRule="auto" w:line="276"/>
        <w:rPr>
          <w:rFonts w:eastAsia="Times New Roman" w:cs="Times New Roman"/>
          <w:b w:val="false"/>
          <w:i w:val="false"/>
          <w:i w:val="false"/>
          <w:caps w:val="false"/>
          <w:smallCaps w:val="false"/>
          <w:color w:val="auto"/>
          <w:spacing w:val="0"/>
          <w:kern w:val="0"/>
          <w:szCs w:val="20"/>
          <w:shd w:fill="auto" w:val="clear"/>
          <w:lang w:val="lt-LT" w:eastAsia="en-US" w:bidi="ar-SA"/>
        </w:rPr>
      </w:pPr>
      <w:r>
        <w:rPr>
          <w:rFonts w:eastAsia="Times New Roman" w:cs="Times New Roman"/>
          <w:b w:val="false"/>
          <w:i w:val="false"/>
          <w:caps w:val="false"/>
          <w:smallCaps w:val="false"/>
          <w:color w:val="auto"/>
          <w:spacing w:val="0"/>
          <w:kern w:val="0"/>
          <w:szCs w:val="20"/>
          <w:shd w:fill="auto" w:val="clear"/>
          <w:lang w:val="lt-LT" w:eastAsia="en-US" w:bidi="ar-SA"/>
        </w:rPr>
        <mc:AlternateContent>
          <mc:Choice Requires="wps">
            <w:drawing>
              <wp:anchor behindDoc="0" distT="0" distB="0" distL="0" distR="0" simplePos="0" locked="0" layoutInCell="0" allowOverlap="1" relativeHeight="162">
                <wp:simplePos x="0" y="0"/>
                <wp:positionH relativeFrom="column">
                  <wp:posOffset>13335</wp:posOffset>
                </wp:positionH>
                <wp:positionV relativeFrom="paragraph">
                  <wp:posOffset>26670</wp:posOffset>
                </wp:positionV>
                <wp:extent cx="2837815" cy="2128520"/>
                <wp:effectExtent l="0" t="0" r="0" b="0"/>
                <wp:wrapTopAndBottom/>
                <wp:docPr id="90" name="Frame1"/>
                <a:graphic xmlns:a="http://schemas.openxmlformats.org/drawingml/2006/main">
                  <a:graphicData uri="http://schemas.microsoft.com/office/word/2010/wordprocessingShape">
                    <wps:wsp>
                      <wps:cNvSpPr/>
                      <wps:spPr>
                        <a:xfrm>
                          <a:off x="0" y="0"/>
                          <a:ext cx="2837880" cy="2128680"/>
                        </a:xfrm>
                        <a:prstGeom prst="rect">
                          <a:avLst/>
                        </a:prstGeom>
                        <a:solidFill>
                          <a:srgbClr val="ffffff"/>
                        </a:solidFill>
                        <a:ln w="0">
                          <a:noFill/>
                        </a:ln>
                      </wps:spPr>
                      <wps:style>
                        <a:lnRef idx="0"/>
                        <a:fillRef idx="0"/>
                        <a:effectRef idx="0"/>
                        <a:fontRef idx="minor"/>
                      </wps:style>
                      <wps:txbx>
                        <w:txbxContent>
                          <w:p>
                            <w:pPr>
                              <w:pStyle w:val="Caption"/>
                              <w:spacing w:lineRule="auto" w:line="240" w:before="0" w:after="120"/>
                              <w:ind w:hanging="0"/>
                              <w:rPr/>
                            </w:pPr>
                            <w:r>
                              <w:rPr>
                                <w:color w:val="000000"/>
                              </w:rPr>
                              <w:drawing>
                                <wp:inline distT="0" distB="0" distL="0" distR="0">
                                  <wp:extent cx="2837815" cy="2128520"/>
                                  <wp:effectExtent l="0" t="0" r="0" b="0"/>
                                  <wp:docPr id="91" name="Image2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Image2 Copy 1"/>
                                          <pic:cNvPicPr>
                                            <a:picLocks noChangeAspect="1" noChangeArrowheads="1"/>
                                          </pic:cNvPicPr>
                                        </pic:nvPicPr>
                                        <pic:blipFill>
                                          <a:blip r:embed="rId92"/>
                                          <a:stretch>
                                            <a:fillRect/>
                                          </a:stretch>
                                        </pic:blipFill>
                                        <pic:spPr bwMode="auto">
                                          <a:xfrm>
                                            <a:off x="0" y="0"/>
                                            <a:ext cx="2837815" cy="2128520"/>
                                          </a:xfrm>
                                          <a:prstGeom prst="rect">
                                            <a:avLst/>
                                          </a:prstGeom>
                                          <a:noFill/>
                                        </pic:spPr>
                                      </pic:pic>
                                    </a:graphicData>
                                  </a:graphic>
                                </wp:inline>
                              </w:drawing>
                            </w:r>
                            <w:r>
                              <w:rPr>
                                <w:color w:val="000000"/>
                              </w:rPr>
                              <w:t>Juostų tvirtinimo pavyzdys</w:t>
                            </w:r>
                          </w:p>
                        </w:txbxContent>
                      </wps:txbx>
                      <wps:bodyPr lIns="0" rIns="0" tIns="0" bIns="0" anchor="t">
                        <a:noAutofit/>
                      </wps:bodyPr>
                    </wps:wsp>
                  </a:graphicData>
                </a:graphic>
              </wp:anchor>
            </w:drawing>
          </mc:Choice>
          <mc:Fallback>
            <w:pict>
              <v:rect id="shape_0" ID="Frame1" path="m0,0l-2147483645,0l-2147483645,-2147483646l0,-2147483646xe" fillcolor="white" stroked="f" o:allowincell="f" style="position:absolute;margin-left:1.05pt;margin-top:2.1pt;width:223.4pt;height:167.55pt;mso-wrap-style:square;v-text-anchor:top">
                <v:fill o:detectmouseclick="t" type="solid" color2="black"/>
                <v:stroke color="#3465a4" joinstyle="round" endcap="flat"/>
                <v:textbox>
                  <w:txbxContent>
                    <w:p>
                      <w:pPr>
                        <w:pStyle w:val="Caption"/>
                        <w:spacing w:lineRule="auto" w:line="240" w:before="0" w:after="120"/>
                        <w:ind w:hanging="0"/>
                        <w:rPr/>
                      </w:pPr>
                      <w:r>
                        <w:rPr>
                          <w:color w:val="000000"/>
                        </w:rPr>
                        <w:drawing>
                          <wp:inline distT="0" distB="0" distL="0" distR="0">
                            <wp:extent cx="2837815" cy="2128520"/>
                            <wp:effectExtent l="0" t="0" r="0" b="0"/>
                            <wp:docPr id="92" name="Image2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2 Copy 1"/>
                                    <pic:cNvPicPr>
                                      <a:picLocks noChangeAspect="1" noChangeArrowheads="1"/>
                                    </pic:cNvPicPr>
                                  </pic:nvPicPr>
                                  <pic:blipFill>
                                    <a:blip r:embed="rId93"/>
                                    <a:stretch>
                                      <a:fillRect/>
                                    </a:stretch>
                                  </pic:blipFill>
                                  <pic:spPr bwMode="auto">
                                    <a:xfrm>
                                      <a:off x="0" y="0"/>
                                      <a:ext cx="2837815" cy="2128520"/>
                                    </a:xfrm>
                                    <a:prstGeom prst="rect">
                                      <a:avLst/>
                                    </a:prstGeom>
                                    <a:noFill/>
                                  </pic:spPr>
                                </pic:pic>
                              </a:graphicData>
                            </a:graphic>
                          </wp:inline>
                        </w:drawing>
                      </w:r>
                      <w:r>
                        <w:rPr>
                          <w:color w:val="000000"/>
                        </w:rPr>
                        <w:t>Juostų tvirtinimo pavyzdys</w:t>
                      </w:r>
                    </w:p>
                  </w:txbxContent>
                </v:textbox>
                <w10:wrap type="topAndBottom"/>
              </v:rect>
            </w:pict>
          </mc:Fallback>
        </mc:AlternateContent>
        <w:drawing>
          <wp:anchor behindDoc="0" distT="0" distB="0" distL="0" distR="0" simplePos="0" locked="0" layoutInCell="0" allowOverlap="1" relativeHeight="181">
            <wp:simplePos x="0" y="0"/>
            <wp:positionH relativeFrom="column">
              <wp:posOffset>3000375</wp:posOffset>
            </wp:positionH>
            <wp:positionV relativeFrom="paragraph">
              <wp:posOffset>876300</wp:posOffset>
            </wp:positionV>
            <wp:extent cx="2526665" cy="1684655"/>
            <wp:effectExtent l="0" t="0" r="0" b="0"/>
            <wp:wrapSquare wrapText="largest"/>
            <wp:docPr id="93" name="Image6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age6 Copy 1"/>
                    <pic:cNvPicPr>
                      <a:picLocks noChangeAspect="1" noChangeArrowheads="1"/>
                    </pic:cNvPicPr>
                  </pic:nvPicPr>
                  <pic:blipFill>
                    <a:blip r:embed="rId94"/>
                    <a:stretch>
                      <a:fillRect/>
                    </a:stretch>
                  </pic:blipFill>
                  <pic:spPr bwMode="auto">
                    <a:xfrm>
                      <a:off x="0" y="0"/>
                      <a:ext cx="2526665" cy="1684655"/>
                    </a:xfrm>
                    <a:prstGeom prst="rect">
                      <a:avLst/>
                    </a:prstGeom>
                    <a:noFill/>
                  </pic:spPr>
                </pic:pic>
              </a:graphicData>
            </a:graphic>
          </wp:anchor>
        </w:drawing>
      </w:r>
    </w:p>
    <w:p>
      <w:pPr>
        <w:pStyle w:val="Paprtekstas"/>
        <w:widowControl/>
        <w:suppressAutoHyphens w:val="true"/>
        <w:bidi w:val="0"/>
        <w:spacing w:lineRule="auto" w:line="276"/>
        <w:rPr>
          <w:color w:val="auto"/>
        </w:rPr>
      </w:pPr>
      <w:r>
        <w:rPr>
          <w:b/>
          <w:bCs/>
          <w:color w:val="000000"/>
          <w:sz w:val="22"/>
          <w:szCs w:val="22"/>
          <w:shd w:fill="auto" w:val="clear"/>
        </w:rPr>
        <w:t>4.5. Metaliniai turėklai</w:t>
      </w:r>
    </w:p>
    <w:p>
      <w:pPr>
        <w:pStyle w:val="Paprtekstas"/>
        <w:widowControl/>
        <w:suppressAutoHyphens w:val="true"/>
        <w:bidi w:val="0"/>
        <w:spacing w:lineRule="auto" w:line="276"/>
        <w:rPr>
          <w:color w:val="auto"/>
        </w:rPr>
      </w:pPr>
      <w:r>
        <w:rPr>
          <w:b w:val="false"/>
          <w:bCs w:val="false"/>
          <w:i/>
          <w:iCs/>
          <w:color w:val="000000"/>
          <w:sz w:val="20"/>
          <w:u w:val="single"/>
          <w:shd w:fill="auto" w:val="clear"/>
        </w:rPr>
        <w:t>Bendrieji reikalavimai</w:t>
      </w:r>
    </w:p>
    <w:p>
      <w:pPr>
        <w:pStyle w:val="Paprtekstas"/>
        <w:widowControl/>
        <w:suppressAutoHyphens w:val="true"/>
        <w:bidi w:val="0"/>
        <w:spacing w:lineRule="auto" w:line="276"/>
        <w:rPr>
          <w:color w:val="auto"/>
        </w:rPr>
      </w:pPr>
      <w:r>
        <w:rPr>
          <w:rFonts w:eastAsia="Times New Roman" w:cs="Times New Roman"/>
          <w:b w:val="false"/>
          <w:i w:val="false"/>
          <w:caps w:val="false"/>
          <w:smallCaps w:val="false"/>
          <w:color w:val="000000"/>
          <w:spacing w:val="0"/>
          <w:kern w:val="0"/>
          <w:szCs w:val="20"/>
          <w:shd w:fill="auto" w:val="clear"/>
          <w:lang w:val="lt-LT" w:eastAsia="en-US" w:bidi="ar-SA"/>
        </w:rPr>
        <w:t>Turėklai ir aptvarai gaminami ir montuojami pagal brėžinius. Gamyba ir montavimas atliekamas pagal gamintojo (tiekėjo) rekomendacijas.</w:t>
      </w:r>
    </w:p>
    <w:p>
      <w:pPr>
        <w:pStyle w:val="Paprtekstas"/>
        <w:widowControl/>
        <w:suppressAutoHyphens w:val="true"/>
        <w:bidi w:val="0"/>
        <w:spacing w:lineRule="auto" w:line="276"/>
        <w:rPr>
          <w:color w:val="auto"/>
        </w:rPr>
      </w:pPr>
      <w:r>
        <w:rPr>
          <w:rFonts w:eastAsia="Times New Roman" w:cs="Times New Roman"/>
          <w:b w:val="false"/>
          <w:bCs w:val="false"/>
          <w:i/>
          <w:iCs/>
          <w:color w:val="000000"/>
          <w:kern w:val="0"/>
          <w:szCs w:val="24"/>
          <w:u w:val="single"/>
          <w:shd w:fill="auto" w:val="clear"/>
          <w:lang w:val="lt-LT" w:eastAsia="en-US" w:bidi="ar-SA"/>
        </w:rPr>
        <w:t>Nrūdijantis plienas</w:t>
      </w:r>
    </w:p>
    <w:p>
      <w:pPr>
        <w:pStyle w:val="Paprtekstas"/>
        <w:widowControl/>
        <w:suppressAutoHyphens w:val="true"/>
        <w:bidi w:val="0"/>
        <w:spacing w:lineRule="auto" w:line="276"/>
        <w:rPr>
          <w:color w:val="auto"/>
        </w:rPr>
      </w:pPr>
      <w:r>
        <w:rPr>
          <w:rFonts w:eastAsia="Times New Roman" w:cs="Times New Roman"/>
          <w:b w:val="false"/>
          <w:i w:val="false"/>
          <w:caps w:val="false"/>
          <w:smallCaps w:val="false"/>
          <w:color w:val="000000"/>
          <w:spacing w:val="0"/>
          <w:kern w:val="0"/>
          <w:szCs w:val="20"/>
          <w:shd w:fill="auto" w:val="clear"/>
          <w:lang w:val="lt-LT" w:eastAsia="en-US" w:bidi="ar-SA"/>
        </w:rPr>
        <w:t>Visi turėklų ir aptvarų elementai (vamzdiniai profiliai, strypai, statramsčiai, laikikliai) turi būti iš nerūdijančio plieno AISI 316 (1.4401) pagal EN 10088-3 (arba lygiavertis). AISI 316 nerūdijantį plieną galima suvirinti, kalti ir šaltai formuoti.</w:t>
      </w:r>
    </w:p>
    <w:p>
      <w:pPr>
        <w:pStyle w:val="Paprtekstas"/>
        <w:widowControl/>
        <w:suppressAutoHyphens w:val="true"/>
        <w:bidi w:val="0"/>
        <w:spacing w:lineRule="auto" w:line="276"/>
        <w:rPr>
          <w:color w:val="auto"/>
        </w:rPr>
      </w:pPr>
      <w:r>
        <w:rPr>
          <w:rFonts w:eastAsia="Times New Roman" w:cs="Times New Roman"/>
          <w:b w:val="false"/>
          <w:bCs w:val="false"/>
          <w:i/>
          <w:iCs/>
          <w:color w:val="000000"/>
          <w:kern w:val="0"/>
          <w:szCs w:val="24"/>
          <w:u w:val="single"/>
          <w:shd w:fill="auto" w:val="clear"/>
          <w:lang w:val="lt-LT" w:eastAsia="en-US" w:bidi="ar-SA"/>
        </w:rPr>
        <w:t>Metalinis turėklas TR-01 ir TR -02</w:t>
      </w:r>
    </w:p>
    <w:p>
      <w:pPr>
        <w:pStyle w:val="Paprtekstas"/>
        <w:widowControl/>
        <w:suppressAutoHyphens w:val="true"/>
        <w:bidi w:val="0"/>
        <w:spacing w:lineRule="auto" w:line="276"/>
        <w:rPr>
          <w:color w:val="auto"/>
        </w:rPr>
      </w:pPr>
      <w:r>
        <w:rPr>
          <w:rFonts w:eastAsia="Times New Roman" w:cs="Times New Roman"/>
          <w:b w:val="false"/>
          <w:i w:val="false"/>
          <w:caps w:val="false"/>
          <w:smallCaps w:val="false"/>
          <w:color w:val="000000"/>
          <w:spacing w:val="0"/>
          <w:kern w:val="0"/>
          <w:szCs w:val="20"/>
          <w:shd w:fill="auto" w:val="clear"/>
          <w:lang w:val="lt-LT" w:eastAsia="en-US" w:bidi="ar-SA"/>
        </w:rPr>
        <w:t xml:space="preserve">Metaliniai turėklai su porankiu, 1,1 m aukščio, </w:t>
      </w:r>
      <w:r>
        <w:rPr>
          <w:rFonts w:eastAsia="Times New Roman" w:cs="Times New Roman"/>
          <w:b w:val="false"/>
          <w:i w:val="false"/>
          <w:caps w:val="false"/>
          <w:smallCaps w:val="false"/>
          <w:color w:val="000000"/>
          <w:spacing w:val="0"/>
          <w:kern w:val="0"/>
          <w:szCs w:val="20"/>
          <w:shd w:fill="auto" w:val="clear"/>
          <w:lang w:val="lt-LT" w:eastAsia="en-US" w:bidi="ar-SA"/>
        </w:rPr>
        <w:t>nerudijančio plieno</w:t>
      </w:r>
      <w:r>
        <w:rPr>
          <w:rFonts w:eastAsia="Times New Roman" w:cs="Times New Roman"/>
          <w:b w:val="false"/>
          <w:i w:val="false"/>
          <w:caps w:val="false"/>
          <w:smallCaps w:val="false"/>
          <w:color w:val="000000"/>
          <w:spacing w:val="0"/>
          <w:kern w:val="0"/>
          <w:szCs w:val="20"/>
          <w:shd w:fill="auto" w:val="clear"/>
          <w:lang w:val="lt-LT" w:eastAsia="en-US" w:bidi="ar-SA"/>
        </w:rPr>
        <w:t xml:space="preserve">. </w:t>
      </w:r>
      <w:r>
        <w:rPr>
          <w:rFonts w:eastAsia="Times New Roman" w:cs="Times New Roman"/>
          <w:b w:val="false"/>
          <w:i w:val="false"/>
          <w:caps w:val="false"/>
          <w:smallCaps w:val="false"/>
          <w:color w:val="000000"/>
          <w:spacing w:val="0"/>
          <w:kern w:val="0"/>
          <w:szCs w:val="20"/>
          <w:shd w:fill="auto" w:val="clear"/>
          <w:lang w:val="lt-LT" w:eastAsia="en-US" w:bidi="ar-SA"/>
        </w:rPr>
        <w:t>Porankis ir statramstis</w:t>
      </w:r>
      <w:r>
        <w:rPr>
          <w:rFonts w:eastAsia="Times New Roman" w:cs="Times New Roman"/>
          <w:b w:val="false"/>
          <w:i w:val="false"/>
          <w:caps w:val="false"/>
          <w:smallCaps w:val="false"/>
          <w:color w:val="000000"/>
          <w:spacing w:val="0"/>
          <w:kern w:val="0"/>
          <w:sz w:val="20"/>
          <w:szCs w:val="20"/>
          <w:shd w:fill="auto" w:val="clear"/>
          <w:lang w:val="lt-LT" w:eastAsia="en-US" w:bidi="ar-SA"/>
        </w:rPr>
        <w:t xml:space="preserve"> Ø45 mm, dėstomi kas 1005 mm.</w:t>
      </w:r>
      <w:r>
        <w:rPr>
          <w:rFonts w:eastAsia="Times New Roman" w:cs="Times New Roman"/>
          <w:b w:val="false"/>
          <w:i w:val="false"/>
          <w:caps w:val="false"/>
          <w:smallCaps w:val="false"/>
          <w:color w:val="000000"/>
          <w:spacing w:val="0"/>
          <w:kern w:val="0"/>
          <w:szCs w:val="20"/>
          <w:shd w:fill="auto" w:val="clear"/>
          <w:lang w:val="lt-LT" w:eastAsia="en-US" w:bidi="ar-SA"/>
        </w:rPr>
        <w:t xml:space="preserve"> </w:t>
      </w:r>
      <w:r>
        <w:rPr>
          <w:rFonts w:eastAsia="Times New Roman" w:cs="Times New Roman"/>
          <w:b w:val="false"/>
          <w:i w:val="false"/>
          <w:caps w:val="false"/>
          <w:smallCaps w:val="false"/>
          <w:color w:val="000000"/>
          <w:spacing w:val="0"/>
          <w:kern w:val="0"/>
          <w:szCs w:val="20"/>
          <w:shd w:fill="auto" w:val="clear"/>
          <w:lang w:val="lt-LT" w:eastAsia="en-US" w:bidi="ar-SA"/>
        </w:rPr>
        <w:t xml:space="preserve"> Statramsčiai montuojamas į monolitinę </w:t>
      </w:r>
      <w:r>
        <w:rPr>
          <w:rFonts w:eastAsia="Times New Roman" w:cs="Times New Roman"/>
          <w:b w:val="false"/>
          <w:i w:val="false"/>
          <w:caps w:val="false"/>
          <w:smallCaps w:val="false"/>
          <w:color w:val="000000"/>
          <w:spacing w:val="0"/>
          <w:kern w:val="0"/>
          <w:szCs w:val="20"/>
          <w:shd w:fill="auto" w:val="clear"/>
          <w:lang w:val="lt-LT" w:eastAsia="en-US" w:bidi="ar-SA"/>
        </w:rPr>
        <w:t>laiptų siją (Žr. SK dalyje). Paslėptas montavimas, tikslinama D</w:t>
      </w:r>
      <w:r>
        <w:rPr>
          <w:rFonts w:eastAsia="Times New Roman" w:cs="Times New Roman"/>
          <w:b w:val="false"/>
          <w:i w:val="false"/>
          <w:caps w:val="false"/>
          <w:smallCaps w:val="false"/>
          <w:color w:val="000000"/>
          <w:spacing w:val="0"/>
          <w:kern w:val="0"/>
          <w:szCs w:val="20"/>
          <w:shd w:fill="auto" w:val="clear"/>
          <w:lang w:val="lt-LT" w:eastAsia="en-US" w:bidi="ar-SA"/>
        </w:rPr>
        <w:t>P</w:t>
      </w:r>
    </w:p>
    <w:p>
      <w:pPr>
        <w:pStyle w:val="Paprtekstas"/>
        <w:widowControl/>
        <w:suppressAutoHyphens w:val="true"/>
        <w:bidi w:val="0"/>
        <w:spacing w:lineRule="auto" w:line="276"/>
        <w:rPr>
          <w:rFonts w:eastAsia="Times New Roman" w:cs="Times New Roman"/>
          <w:b w:val="false"/>
          <w:bCs w:val="false"/>
          <w:i/>
          <w:i/>
          <w:iCs/>
          <w:color w:val="000000"/>
          <w:kern w:val="0"/>
          <w:szCs w:val="24"/>
          <w:u w:val="single"/>
          <w:shd w:fill="auto" w:val="clear"/>
          <w:lang w:val="lt-LT" w:eastAsia="en-US" w:bidi="ar-SA"/>
        </w:rPr>
      </w:pPr>
      <w:r>
        <w:rPr>
          <w:rFonts w:eastAsia="Times New Roman" w:cs="Times New Roman"/>
          <w:b w:val="false"/>
          <w:bCs w:val="false"/>
          <w:i/>
          <w:iCs/>
          <w:color w:val="000000"/>
          <w:kern w:val="0"/>
          <w:szCs w:val="24"/>
          <w:u w:val="single"/>
          <w:shd w:fill="auto" w:val="clear"/>
          <w:lang w:val="lt-LT" w:eastAsia="en-US" w:bidi="ar-SA"/>
        </w:rPr>
        <w:t>Metalinis turėklas TR-01L</w:t>
      </w:r>
    </w:p>
    <w:p>
      <w:pPr>
        <w:pStyle w:val="Paprtekstas"/>
        <w:widowControl/>
        <w:suppressAutoHyphens w:val="true"/>
        <w:bidi w:val="0"/>
        <w:spacing w:lineRule="auto" w:line="276"/>
        <w:rPr>
          <w:color w:val="auto"/>
        </w:rPr>
      </w:pPr>
      <w:r>
        <w:rPr>
          <w:rFonts w:eastAsia="Times New Roman" w:cs="Times New Roman"/>
          <w:b w:val="false"/>
          <w:i w:val="false"/>
          <w:caps w:val="false"/>
          <w:smallCaps w:val="false"/>
          <w:color w:val="000000"/>
          <w:spacing w:val="0"/>
          <w:kern w:val="0"/>
          <w:szCs w:val="20"/>
          <w:shd w:fill="auto" w:val="clear"/>
          <w:lang w:val="lt-LT" w:eastAsia="en-US" w:bidi="ar-SA"/>
        </w:rPr>
        <w:t xml:space="preserve">Metaliniai turėklai su porankiu, 1,1 m aukščio, </w:t>
      </w:r>
      <w:r>
        <w:rPr>
          <w:rFonts w:eastAsia="Times New Roman" w:cs="Times New Roman"/>
          <w:b w:val="false"/>
          <w:i w:val="false"/>
          <w:caps w:val="false"/>
          <w:smallCaps w:val="false"/>
          <w:color w:val="000000"/>
          <w:spacing w:val="0"/>
          <w:kern w:val="0"/>
          <w:szCs w:val="20"/>
          <w:shd w:fill="auto" w:val="clear"/>
          <w:lang w:val="lt-LT" w:eastAsia="en-US" w:bidi="ar-SA"/>
        </w:rPr>
        <w:t>nerudijančio plieno</w:t>
      </w:r>
      <w:r>
        <w:rPr>
          <w:rFonts w:eastAsia="Times New Roman" w:cs="Times New Roman"/>
          <w:b w:val="false"/>
          <w:i w:val="false"/>
          <w:caps w:val="false"/>
          <w:smallCaps w:val="false"/>
          <w:color w:val="000000"/>
          <w:spacing w:val="0"/>
          <w:kern w:val="0"/>
          <w:szCs w:val="20"/>
          <w:shd w:fill="auto" w:val="clear"/>
          <w:lang w:val="lt-LT" w:eastAsia="en-US" w:bidi="ar-SA"/>
        </w:rPr>
        <w:t xml:space="preserve">. </w:t>
      </w:r>
      <w:r>
        <w:rPr>
          <w:rFonts w:eastAsia="Times New Roman" w:cs="Times New Roman"/>
          <w:b w:val="false"/>
          <w:i w:val="false"/>
          <w:caps w:val="false"/>
          <w:smallCaps w:val="false"/>
          <w:color w:val="000000"/>
          <w:spacing w:val="0"/>
          <w:kern w:val="0"/>
          <w:szCs w:val="20"/>
          <w:shd w:fill="auto" w:val="clear"/>
          <w:lang w:val="lt-LT" w:eastAsia="en-US" w:bidi="ar-SA"/>
        </w:rPr>
        <w:t>Porankis ir statramstis</w:t>
      </w:r>
      <w:r>
        <w:rPr>
          <w:rFonts w:eastAsia="Times New Roman" w:cs="Times New Roman"/>
          <w:b w:val="false"/>
          <w:i w:val="false"/>
          <w:caps w:val="false"/>
          <w:smallCaps w:val="false"/>
          <w:color w:val="000000"/>
          <w:spacing w:val="0"/>
          <w:kern w:val="0"/>
          <w:sz w:val="20"/>
          <w:szCs w:val="20"/>
          <w:shd w:fill="auto" w:val="clear"/>
          <w:lang w:val="lt-LT" w:eastAsia="en-US" w:bidi="ar-SA"/>
        </w:rPr>
        <w:t xml:space="preserve"> Ø45 mm, dėstomi kas 1005 mm.</w:t>
      </w:r>
      <w:r>
        <w:rPr>
          <w:rFonts w:eastAsia="Times New Roman" w:cs="Times New Roman"/>
          <w:b w:val="false"/>
          <w:i w:val="false"/>
          <w:caps w:val="false"/>
          <w:smallCaps w:val="false"/>
          <w:color w:val="000000"/>
          <w:spacing w:val="0"/>
          <w:kern w:val="0"/>
          <w:szCs w:val="20"/>
          <w:shd w:fill="auto" w:val="clear"/>
          <w:lang w:val="lt-LT" w:eastAsia="en-US" w:bidi="ar-SA"/>
        </w:rPr>
        <w:t xml:space="preserve">  Statramsčiai montuojamas į monolitinę laiptų siją (Žr. SK dalyje). Paslėptas montavimas, tikslinama D</w:t>
      </w:r>
      <w:r>
        <w:rPr>
          <w:rFonts w:eastAsia="Times New Roman" w:cs="Times New Roman"/>
          <w:b w:val="false"/>
          <w:i w:val="false"/>
          <w:caps w:val="false"/>
          <w:smallCaps w:val="false"/>
          <w:color w:val="000000"/>
          <w:spacing w:val="0"/>
          <w:kern w:val="0"/>
          <w:szCs w:val="20"/>
          <w:shd w:fill="auto" w:val="clear"/>
          <w:lang w:val="lt-LT" w:eastAsia="en-US" w:bidi="ar-SA"/>
        </w:rPr>
        <w:t>P.</w:t>
      </w:r>
      <w:r>
        <w:rPr>
          <w:rFonts w:eastAsia="Times New Roman" w:cs="Times New Roman"/>
          <w:b w:val="false"/>
          <w:i w:val="false"/>
          <w:caps w:val="false"/>
          <w:smallCaps w:val="false"/>
          <w:color w:val="000000"/>
          <w:spacing w:val="0"/>
          <w:kern w:val="0"/>
          <w:szCs w:val="20"/>
          <w:shd w:fill="auto" w:val="clear"/>
          <w:lang w:val="lt-LT" w:eastAsia="en-US" w:bidi="ar-SA"/>
        </w:rPr>
        <w:t xml:space="preserve"> TR-01L </w:t>
      </w:r>
      <w:r>
        <w:rPr>
          <w:rFonts w:eastAsia="Times New Roman" w:cs="Times New Roman"/>
          <w:b w:val="false"/>
          <w:i w:val="false"/>
          <w:caps w:val="false"/>
          <w:smallCaps w:val="false"/>
          <w:color w:val="000000"/>
          <w:spacing w:val="0"/>
          <w:kern w:val="0"/>
          <w:szCs w:val="20"/>
          <w:shd w:fill="auto" w:val="clear"/>
          <w:lang w:val="lt-LT" w:eastAsia="en-US" w:bidi="ar-SA"/>
        </w:rPr>
        <w:t>analogiškas trėklui TR-01 tik su įmontuotu apšvietimu į porankį</w:t>
      </w:r>
    </w:p>
    <w:p>
      <w:pPr>
        <w:pStyle w:val="Paprtekstas"/>
        <w:widowControl/>
        <w:suppressAutoHyphens w:val="true"/>
        <w:bidi w:val="0"/>
        <w:spacing w:lineRule="auto" w:line="276"/>
        <w:rPr>
          <w:rFonts w:eastAsia="Times New Roman" w:cs="Times New Roman"/>
          <w:b w:val="false"/>
          <w:i w:val="false"/>
          <w:i w:val="false"/>
          <w:caps w:val="false"/>
          <w:smallCaps w:val="false"/>
          <w:color w:val="000000"/>
          <w:spacing w:val="0"/>
          <w:kern w:val="0"/>
          <w:szCs w:val="20"/>
          <w:shd w:fill="auto" w:val="clear"/>
          <w:lang w:val="lt-LT" w:eastAsia="en-US" w:bidi="ar-SA"/>
        </w:rPr>
      </w:pPr>
      <w:r>
        <w:rPr>
          <w:rFonts w:eastAsia="Times New Roman" w:cs="Times New Roman"/>
          <w:b w:val="false"/>
          <w:i w:val="false"/>
          <w:caps w:val="false"/>
          <w:smallCaps w:val="false"/>
          <w:color w:val="000000"/>
          <w:spacing w:val="0"/>
          <w:kern w:val="0"/>
          <w:szCs w:val="20"/>
          <w:shd w:fill="auto" w:val="clear"/>
          <w:lang w:val="lt-LT" w:eastAsia="en-US" w:bidi="ar-SA"/>
        </w:rPr>
      </w:r>
    </w:p>
    <w:p>
      <w:pPr>
        <w:pStyle w:val="Paprtekstas"/>
        <w:widowControl/>
        <w:suppressAutoHyphens w:val="true"/>
        <w:bidi w:val="0"/>
        <w:spacing w:lineRule="auto" w:line="276"/>
        <w:rPr>
          <w:color w:val="auto"/>
        </w:rPr>
      </w:pPr>
      <w:r>
        <w:rPr>
          <w:b/>
          <w:bCs/>
          <w:color w:val="000000"/>
          <w:sz w:val="22"/>
          <w:szCs w:val="22"/>
          <w:shd w:fill="auto" w:val="clear"/>
        </w:rPr>
        <w:t>4.6. Ženklinimo įrengimas estradoje</w:t>
      </w:r>
    </w:p>
    <w:p>
      <w:pPr>
        <w:pStyle w:val="Paprtekstas"/>
        <w:widowControl/>
        <w:suppressAutoHyphens w:val="true"/>
        <w:bidi w:val="0"/>
        <w:spacing w:lineRule="auto" w:line="276"/>
        <w:ind w:hanging="0"/>
        <w:rPr>
          <w:color w:val="auto"/>
        </w:rPr>
      </w:pPr>
      <w:r>
        <w:rPr>
          <w:rFonts w:eastAsia="Times New Roman" w:cs="Times New Roman"/>
          <w:b w:val="false"/>
          <w:i/>
          <w:iCs/>
          <w:caps w:val="false"/>
          <w:smallCaps w:val="false"/>
          <w:color w:val="000000"/>
          <w:spacing w:val="0"/>
          <w:kern w:val="0"/>
          <w:sz w:val="20"/>
          <w:szCs w:val="20"/>
          <w:u w:val="single"/>
          <w:shd w:fill="auto" w:val="clear"/>
          <w:lang w:val="lt-LT" w:eastAsia="en-US" w:bidi="ar-SA"/>
        </w:rPr>
        <w:t>Nerūdijančio plieno numeracija estrados suolų eilėms</w:t>
      </w:r>
    </w:p>
    <w:p>
      <w:pPr>
        <w:pStyle w:val="Paprtekstas"/>
        <w:widowControl/>
        <w:suppressAutoHyphens w:val="true"/>
        <w:bidi w:val="0"/>
        <w:spacing w:lineRule="auto" w:line="276"/>
        <w:ind w:hanging="0"/>
        <w:rPr>
          <w:color w:val="auto"/>
        </w:rPr>
      </w:pPr>
      <w:r>
        <w:rPr>
          <w:rFonts w:eastAsia="Times New Roman" w:cs="Times New Roman"/>
          <w:b w:val="false"/>
          <w:i/>
          <w:iCs/>
          <w:caps w:val="false"/>
          <w:smallCaps w:val="false"/>
          <w:color w:val="000000"/>
          <w:spacing w:val="0"/>
          <w:kern w:val="0"/>
          <w:sz w:val="20"/>
          <w:szCs w:val="20"/>
          <w:u w:val="single"/>
          <w:shd w:fill="auto" w:val="clear"/>
          <w:lang w:val="lt-LT" w:eastAsia="en-US" w:bidi="ar-SA"/>
        </w:rPr>
        <w:t>Medžiaga:</w:t>
      </w:r>
    </w:p>
    <w:p>
      <w:pPr>
        <w:pStyle w:val="Paprtekstas"/>
        <w:widowControl/>
        <w:suppressAutoHyphens w:val="true"/>
        <w:bidi w:val="0"/>
        <w:spacing w:lineRule="auto" w:line="276"/>
        <w:rPr/>
      </w:pPr>
      <w:r>
        <w:rPr>
          <w:rStyle w:val="Strong"/>
          <w:rFonts w:eastAsia="Times New Roman" w:cs="Times New Roman"/>
          <w:b w:val="false"/>
          <w:i w:val="false"/>
          <w:caps w:val="false"/>
          <w:smallCaps w:val="false"/>
          <w:color w:val="000000"/>
          <w:spacing w:val="0"/>
          <w:kern w:val="0"/>
          <w:szCs w:val="20"/>
          <w:shd w:fill="auto" w:val="clear"/>
          <w:lang w:val="lt-LT" w:eastAsia="en-US" w:bidi="ar-SA"/>
        </w:rPr>
        <w:t>Pagrindinė medžiaga:</w:t>
      </w:r>
      <w:r>
        <w:rPr>
          <w:rFonts w:eastAsia="Times New Roman" w:cs="Times New Roman"/>
          <w:b w:val="false"/>
          <w:i w:val="false"/>
          <w:caps w:val="false"/>
          <w:smallCaps w:val="false"/>
          <w:color w:val="000000"/>
          <w:spacing w:val="0"/>
          <w:kern w:val="0"/>
          <w:szCs w:val="20"/>
          <w:shd w:fill="auto" w:val="clear"/>
          <w:lang w:val="lt-LT" w:eastAsia="en-US" w:bidi="ar-SA"/>
        </w:rPr>
        <w:t xml:space="preserve"> Aukštos kokybės nerūdijantis plienas, užtikrinantis atsparumą korozijai, rūdijimui ir oksidacijai lauko sąlygose. Minimalus nerūdijančio plieno gaminio storis 1,5 mm, tikslinama DP.</w:t>
      </w:r>
      <w:r>
        <w:rPr>
          <w:rFonts w:eastAsia="Times New Roman" w:cs="Times New Roman"/>
          <w:b w:val="false"/>
          <w:bCs w:val="false"/>
          <w:i w:val="false"/>
          <w:caps w:val="false"/>
          <w:smallCaps w:val="false"/>
          <w:color w:val="000000"/>
          <w:spacing w:val="0"/>
          <w:kern w:val="0"/>
          <w:szCs w:val="20"/>
          <w:shd w:fill="auto" w:val="clear"/>
          <w:lang w:val="lt-LT" w:eastAsia="en-US" w:bidi="ar-SA"/>
        </w:rPr>
        <w:t xml:space="preserve"> </w:t>
      </w:r>
      <w:r>
        <w:rPr>
          <w:rStyle w:val="Strong"/>
          <w:rFonts w:eastAsia="Times New Roman" w:cs="Times New Roman"/>
          <w:b w:val="false"/>
          <w:bCs w:val="false"/>
          <w:i w:val="false"/>
          <w:caps w:val="false"/>
          <w:smallCaps w:val="false"/>
          <w:color w:val="000000"/>
          <w:spacing w:val="0"/>
          <w:kern w:val="0"/>
          <w:szCs w:val="20"/>
          <w:shd w:fill="auto" w:val="clear"/>
          <w:lang w:val="lt-LT" w:eastAsia="en-US" w:bidi="ar-SA"/>
        </w:rPr>
        <w:t>Paviršiaus apdorojimas</w:t>
      </w:r>
      <w:r>
        <w:rPr>
          <w:rStyle w:val="Strong"/>
          <w:rFonts w:eastAsia="Times New Roman" w:cs="Times New Roman"/>
          <w:i w:val="false"/>
          <w:caps w:val="false"/>
          <w:smallCaps w:val="false"/>
          <w:color w:val="000000"/>
          <w:spacing w:val="0"/>
          <w:kern w:val="0"/>
          <w:szCs w:val="20"/>
          <w:shd w:fill="auto" w:val="clear"/>
          <w:lang w:val="lt-LT" w:eastAsia="en-US" w:bidi="ar-SA"/>
        </w:rPr>
        <w:t xml:space="preserve"> - </w:t>
      </w:r>
      <w:r>
        <w:rPr>
          <w:rStyle w:val="Strong"/>
          <w:rFonts w:eastAsia="Times New Roman" w:cs="Times New Roman"/>
          <w:b w:val="false"/>
          <w:bCs w:val="false"/>
          <w:i w:val="false"/>
          <w:caps w:val="false"/>
          <w:smallCaps w:val="false"/>
          <w:color w:val="000000"/>
          <w:spacing w:val="0"/>
          <w:kern w:val="0"/>
          <w:szCs w:val="20"/>
          <w:shd w:fill="auto" w:val="clear"/>
          <w:lang w:val="lt-LT" w:eastAsia="en-US" w:bidi="ar-SA"/>
        </w:rPr>
        <w:t>š</w:t>
      </w:r>
      <w:r>
        <w:rPr>
          <w:rFonts w:eastAsia="Times New Roman" w:cs="Times New Roman"/>
          <w:b w:val="false"/>
          <w:i w:val="false"/>
          <w:caps w:val="false"/>
          <w:smallCaps w:val="false"/>
          <w:color w:val="000000"/>
          <w:spacing w:val="0"/>
          <w:kern w:val="0"/>
          <w:szCs w:val="20"/>
          <w:shd w:fill="auto" w:val="clear"/>
          <w:lang w:val="lt-LT" w:eastAsia="en-US" w:bidi="ar-SA"/>
        </w:rPr>
        <w:t>lifuotas, matinis arba poliruotas paviršius estetikos ir lengvos priežiūros tikslams. Galima pasirinkti matinį arba antirefleksinį paviršių, kad sumažintų atspindžius tiesioginės saulės šviesoje. Tikslinama DP. Paviršius turi būti UV stabilizuotas, kad išvengtų spalvų blukimo ar išblukimo dėl ilgalaikio saulės spindulių poveikio. Metalas turi būti pilnai atsparūs vandeniui ir drėgmei, užtikrinantys ilgaamžiškumą lietaus ir sniego sąlygomis. Y</w:t>
      </w:r>
      <w:r>
        <w:rPr>
          <w:rFonts w:eastAsia="Times New Roman" w:cs="Times New Roman"/>
          <w:b w:val="false"/>
          <w:i w:val="false"/>
          <w:caps w:val="false"/>
          <w:smallCaps w:val="false"/>
          <w:color w:val="000000"/>
          <w:spacing w:val="0"/>
          <w:kern w:val="0"/>
          <w:szCs w:val="20"/>
          <w:u w:val="single"/>
          <w:shd w:fill="auto" w:val="clear"/>
          <w:lang w:val="lt-LT" w:eastAsia="en-US" w:bidi="ar-SA"/>
        </w:rPr>
        <w:t xml:space="preserve">pač pajūrio vietovėms skirtas nerūdijantis plienas, atsparus sūriam orui ir vandens poveikiui, nesideformuojant ir nesidegradavus. </w:t>
      </w:r>
    </w:p>
    <w:p>
      <w:pPr>
        <w:pStyle w:val="Paprtekstas"/>
        <w:widowControl/>
        <w:suppressAutoHyphens w:val="true"/>
        <w:bidi w:val="0"/>
        <w:spacing w:lineRule="auto" w:line="276"/>
        <w:rPr>
          <w:color w:val="auto"/>
        </w:rPr>
      </w:pPr>
      <w:r>
        <w:rPr>
          <w:rFonts w:eastAsia="Times New Roman" w:cs="Times New Roman"/>
          <w:b w:val="false"/>
          <w:i w:val="false"/>
          <w:caps w:val="false"/>
          <w:smallCaps w:val="false"/>
          <w:color w:val="000000"/>
          <w:spacing w:val="0"/>
          <w:kern w:val="0"/>
          <w:szCs w:val="20"/>
          <w:shd w:fill="auto" w:val="clear"/>
          <w:lang w:val="lt-LT" w:eastAsia="en-US" w:bidi="ar-SA"/>
        </w:rPr>
        <w:t>Numeracijos šriftas privalo būti lengvai skaitomas ir aiškus. Minimalus skaičiaus ar raidės dytis – 100 mm. Kraštų apdorojimas - lygaus, apvalinto krašto apdorojimas, siekiant išvengti sužalojimų ir užtikrinti ilgaamžiškumą. Tikslus numeracijos šriftas ir dydis tikslinamas DP.</w:t>
      </w:r>
    </w:p>
    <w:p>
      <w:pPr>
        <w:pStyle w:val="Paprtekstas"/>
        <w:widowControl/>
        <w:suppressAutoHyphens w:val="true"/>
        <w:bidi w:val="0"/>
        <w:spacing w:lineRule="auto" w:line="276"/>
        <w:ind w:hanging="0"/>
        <w:rPr>
          <w:color w:val="auto"/>
        </w:rPr>
      </w:pPr>
      <w:r>
        <w:rPr>
          <w:rFonts w:eastAsia="Times New Roman" w:cs="Times New Roman"/>
          <w:b w:val="false"/>
          <w:i/>
          <w:iCs/>
          <w:caps w:val="false"/>
          <w:smallCaps w:val="false"/>
          <w:color w:val="000000"/>
          <w:spacing w:val="0"/>
          <w:kern w:val="0"/>
          <w:szCs w:val="20"/>
          <w:u w:val="single"/>
          <w:shd w:fill="auto" w:val="clear"/>
          <w:lang w:val="lt-LT" w:eastAsia="en-US" w:bidi="ar-SA"/>
        </w:rPr>
        <w:t>Montavimas:</w:t>
      </w:r>
    </w:p>
    <w:p>
      <w:pPr>
        <w:pStyle w:val="Paprtekstas"/>
        <w:widowControl/>
        <w:suppressAutoHyphens w:val="true"/>
        <w:bidi w:val="0"/>
        <w:spacing w:lineRule="auto" w:line="276"/>
        <w:rPr>
          <w:color w:val="auto"/>
        </w:rPr>
      </w:pPr>
      <w:r>
        <w:rPr>
          <w:rFonts w:eastAsia="Times New Roman" w:cs="Times New Roman"/>
          <w:b w:val="false"/>
          <w:i w:val="false"/>
          <w:caps w:val="false"/>
          <w:smallCaps w:val="false"/>
          <w:color w:val="000000"/>
          <w:spacing w:val="0"/>
          <w:kern w:val="0"/>
          <w:szCs w:val="20"/>
          <w:shd w:fill="auto" w:val="clear"/>
          <w:lang w:val="lt-LT" w:eastAsia="en-US" w:bidi="ar-SA"/>
        </w:rPr>
        <w:t xml:space="preserve">Prieš montuojant numeracijos ženklus, būtina įsitikinti, kad visi elementai yra tinkamai paruošti ir išvalyti. Nerūdijančio plieno ženklas turi būti be rūdžių ir kitų defektų, o betono paviršius turi būti švarus, sausas ir lygus. </w:t>
      </w:r>
      <w:r>
        <w:rPr>
          <w:color w:val="auto"/>
        </w:rPr>
        <w:t xml:space="preserve">Išmatuokite norimą numeracijos ženklo poziciją ant betono gaminio paviršiaus. Užtikrinkite, kad ženklai būtų teisingai išdėstyti pagal projekto reikalavimus, atstumas tarp ženklų turi atitikti numatytą planą. </w:t>
      </w:r>
    </w:p>
    <w:p>
      <w:pPr>
        <w:pStyle w:val="Paprtekstas"/>
        <w:widowControl/>
        <w:suppressAutoHyphens w:val="true"/>
        <w:bidi w:val="0"/>
        <w:spacing w:lineRule="auto" w:line="276"/>
        <w:rPr>
          <w:color w:val="auto"/>
        </w:rPr>
      </w:pPr>
      <w:r>
        <w:rPr>
          <w:color w:val="auto"/>
        </w:rPr>
        <w:t xml:space="preserve">Naudokite nerūdijančio plieno varžtus, kaiščius ar kitus tvirtinimo elementus, kad užtikrintumėte patikimą montavimą ir atsparumą korozijai. Jei naudojate kaiščius, įsitikinkite, kad jų ilgis ir skersmuo atitinka išgręžtų angų dydį. </w:t>
      </w:r>
    </w:p>
    <w:p>
      <w:pPr>
        <w:pStyle w:val="Paprtekstas"/>
        <w:widowControl/>
        <w:suppressAutoHyphens w:val="true"/>
        <w:bidi w:val="0"/>
        <w:spacing w:lineRule="auto" w:line="276"/>
        <w:rPr>
          <w:color w:val="auto"/>
        </w:rPr>
      </w:pPr>
      <w:r>
        <w:rPr>
          <w:b/>
          <w:bCs/>
          <w:color w:val="000000"/>
          <w:sz w:val="22"/>
          <w:szCs w:val="22"/>
          <w:shd w:fill="auto" w:val="clear"/>
        </w:rPr>
        <w:t>4</w:t>
      </w:r>
      <w:r>
        <w:rPr>
          <w:rFonts w:eastAsia="Times New Roman" w:cs="Times New Roman"/>
          <w:b/>
          <w:bCs/>
          <w:color w:val="auto"/>
          <w:kern w:val="0"/>
          <w:sz w:val="22"/>
          <w:szCs w:val="22"/>
          <w:lang w:val="lt-LT" w:eastAsia="en-US" w:bidi="ar-SA"/>
        </w:rPr>
        <w:t>.7. Daugiafunkcė laisvo stiliaus dviračių trasa „Pump track“</w:t>
      </w:r>
    </w:p>
    <w:p>
      <w:pPr>
        <w:pStyle w:val="Paprtekstas"/>
        <w:widowControl/>
        <w:suppressAutoHyphens w:val="true"/>
        <w:bidi w:val="0"/>
        <w:spacing w:lineRule="auto" w:line="276"/>
        <w:rPr>
          <w:color w:val="auto"/>
        </w:rPr>
      </w:pPr>
      <w:r>
        <w:rPr>
          <w:rFonts w:eastAsia="Times New Roman" w:cs="Times New Roman"/>
          <w:i/>
          <w:iCs/>
          <w:color w:val="auto"/>
          <w:kern w:val="0"/>
          <w:szCs w:val="24"/>
          <w:u w:val="single"/>
          <w:lang w:val="lt-LT" w:eastAsia="en-US" w:bidi="ar-SA"/>
        </w:rPr>
        <w:t>TRASOS  PAGRINDINĖ KONSTRUKCIJA</w:t>
      </w:r>
    </w:p>
    <w:p>
      <w:pPr>
        <w:pStyle w:val="Paprtekstas"/>
        <w:widowControl/>
        <w:suppressAutoHyphens w:val="true"/>
        <w:bidi w:val="0"/>
        <w:spacing w:lineRule="auto" w:line="276"/>
        <w:rPr>
          <w:color w:val="auto"/>
        </w:rPr>
      </w:pPr>
      <w:r>
        <w:rPr>
          <w:rFonts w:eastAsia="Times New Roman" w:cs="Times New Roman"/>
          <w:b w:val="false"/>
          <w:bCs w:val="false"/>
          <w:i/>
          <w:iCs/>
          <w:color w:val="auto"/>
          <w:kern w:val="0"/>
          <w:szCs w:val="24"/>
          <w:u w:val="single"/>
          <w:lang w:val="lt-LT" w:eastAsia="en-US" w:bidi="ar-SA"/>
        </w:rPr>
        <w:t>Pagrindinis važiuojamasis paviršius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 Važiuojamos dangos storis ne mažesnis nei 15 cm, naudojamas betonas C30/37  XC2+XF3 kurio vandens pralaidumo markė W8, šalčio atsparumo markė F150. Betoninė danga yra sutvirtinama su vieno sluoksnio 8 mm  diametro tinkleliu kurio akies dydis 150x150 mm. Vertikalios važiuojamosios dangos yra betonuojamos naudojant „shotcrete“ technologiją (purškiamas betonas).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 Dangų paviršius poliruojamas su mechaniniu šlifuotoju.</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 Važiuojamoje dangoje turi būti įrengtos temperatūrinės siūlės kurių dydis negali būti didesnis nei 5x5m, gylis 1/3 dangos storio.</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 Danga turi turėti nuolydi kurio diapazonas nuo 1,5%  iki 2,0%. Jeigu yra galimybė, nuolydis turi būti tik į vieną pusę.</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 xml:space="preserve">- Važiuojama dalis turi būti lygi ir atspari smūgiams. Riedlentės, riedučiai, paspirtukai, kurių ratukai yra 44-62 mm diametro negali jausti jokių trikdžių ar nelygumų riedant. </w:t>
      </w:r>
    </w:p>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r>
    </w:p>
    <w:p>
      <w:pPr>
        <w:pStyle w:val="Paprtekstas"/>
        <w:widowControl/>
        <w:suppressAutoHyphens w:val="true"/>
        <w:bidi w:val="0"/>
        <w:spacing w:lineRule="auto" w:line="276"/>
        <w:rPr>
          <w:color w:val="auto"/>
        </w:rPr>
      </w:pPr>
      <w:r>
        <w:rPr>
          <w:rFonts w:eastAsia="Times New Roman" w:cs="Times New Roman"/>
          <w:i/>
          <w:iCs/>
          <w:color w:val="auto"/>
          <w:kern w:val="0"/>
          <w:szCs w:val="24"/>
          <w:u w:val="single"/>
          <w:lang w:val="lt-LT" w:eastAsia="en-US" w:bidi="ar-SA"/>
        </w:rPr>
        <w:t>Pagrindai</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Betoninis skate parko pagrindas įrengiamas ant žemės pagrindų.</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- 38 cm šalčiui atsparus smėlio - žvyro sluoksnis fr. 0 – 32mm.</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- 15 cm žvyro skaldos fr 0 – 45mm arba dolomitinės skaldos sluoksnis fr. 0 – 32mm.</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 xml:space="preserve">- 15 cm C30/C37 markės betono sluoksnis važiuojamajam paviršiui. Vertikalios važiuojamosios dangos yra betonuojamos naudojant shotcrete technologiją (purškiamas betonas). </w:t>
      </w:r>
    </w:p>
    <w:p>
      <w:pPr>
        <w:pStyle w:val="Paprtekstas"/>
        <w:widowControl/>
        <w:suppressAutoHyphens w:val="true"/>
        <w:bidi w:val="0"/>
        <w:spacing w:lineRule="auto" w:line="276"/>
        <w:rPr>
          <w:color w:val="auto"/>
        </w:rPr>
      </w:pPr>
      <w:r>
        <w:rPr>
          <w:rFonts w:eastAsia="Times New Roman" w:cs="Times New Roman"/>
          <w:i/>
          <w:iCs/>
          <w:color w:val="auto"/>
          <w:kern w:val="0"/>
          <w:szCs w:val="24"/>
          <w:u w:val="single"/>
          <w:lang w:val="lt-LT" w:eastAsia="en-US" w:bidi="ar-SA"/>
        </w:rPr>
        <w:t>Metalinės dalys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Čiuožimo turėklai iš apvalaus profilio plieninio vamzdžio kurio diametras 50 mm - 60 mm, sienelės stori apie 4mm. Metaliniai čiuožimo kampai iš plieno, sienelės storis 4mm.Visi čiuožimo bortai gaminami iš 4mm storio plieno lakšto ir užpildomi armuotu betonu.</w:t>
      </w:r>
    </w:p>
    <w:p>
      <w:pPr>
        <w:pStyle w:val="Paprtekstas"/>
        <w:widowControl/>
        <w:suppressAutoHyphens w:val="true"/>
        <w:bidi w:val="0"/>
        <w:spacing w:lineRule="auto" w:line="276"/>
        <w:rPr>
          <w:color w:val="auto"/>
        </w:rPr>
      </w:pPr>
      <w:r>
        <w:rPr>
          <w:rFonts w:eastAsia="Times New Roman" w:cs="Times New Roman"/>
          <w:i/>
          <w:iCs/>
          <w:color w:val="auto"/>
          <w:kern w:val="0"/>
          <w:szCs w:val="24"/>
          <w:u w:val="single"/>
          <w:lang w:val="lt-LT" w:eastAsia="en-US" w:bidi="ar-SA"/>
        </w:rPr>
        <w:t>SAUGUMAS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 Naudojimosi instrukcija turi būti pakabinta gerai matomoje vietoje prie įėjimo.</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 Atstumai tarp elementų turi turėti saugų atstumą, kad išvengti susidūrimų ir kritimų.</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 xml:space="preserve">- Visos naudojamos medžiagos turi turėti sertifikatus, techninius liudijimus arba atitikties deklaracijas ir pan. </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 Visi sporto, pramogų, laisvalaikio ar savivaldybės pastatyti įrenginiai aikštelėje privalo atitikti visus reikalavimus saugos reikalavimų principus pagal bandymo metodus EN 14974 principus.</w:t>
      </w:r>
    </w:p>
    <w:p>
      <w:pPr>
        <w:pStyle w:val="Paprtekstas"/>
        <w:widowControl/>
        <w:suppressAutoHyphens w:val="true"/>
        <w:bidi w:val="0"/>
        <w:spacing w:lineRule="auto" w:line="276"/>
        <w:rPr>
          <w:color w:val="auto"/>
        </w:rPr>
      </w:pPr>
      <w:r>
        <w:rPr/>
        <mc:AlternateContent>
          <mc:Choice Requires="wps">
            <w:drawing>
              <wp:inline distT="0" distB="0" distL="0" distR="0">
                <wp:extent cx="5811520" cy="3696970"/>
                <wp:effectExtent l="0" t="0" r="0" b="0"/>
                <wp:docPr id="94" name="Frame2"/>
                <a:graphic xmlns:a="http://schemas.openxmlformats.org/drawingml/2006/main">
                  <a:graphicData uri="http://schemas.microsoft.com/office/word/2010/wordprocessingShape">
                    <wps:wsp>
                      <wps:cNvSpPr/>
                      <wps:spPr>
                        <a:xfrm>
                          <a:off x="0" y="0"/>
                          <a:ext cx="5811480" cy="3696840"/>
                        </a:xfrm>
                        <a:prstGeom prst="rect">
                          <a:avLst/>
                        </a:prstGeom>
                        <a:solidFill>
                          <a:srgbClr val="ffffff"/>
                        </a:solidFill>
                        <a:ln w="0">
                          <a:noFill/>
                        </a:ln>
                      </wps:spPr>
                      <wps:style>
                        <a:lnRef idx="0"/>
                        <a:fillRef idx="0"/>
                        <a:effectRef idx="0"/>
                        <a:fontRef idx="minor"/>
                      </wps:style>
                      <wps:txbx>
                        <w:txbxContent>
                          <w:p>
                            <w:pPr>
                              <w:pStyle w:val="Caption"/>
                              <w:spacing w:lineRule="auto" w:line="240" w:before="0" w:after="120"/>
                              <w:ind w:hanging="0"/>
                              <w:rPr/>
                            </w:pPr>
                            <w:r>
                              <w:rPr>
                                <w:color w:val="000000"/>
                              </w:rPr>
                              <w:drawing>
                                <wp:inline distT="0" distB="0" distL="0" distR="0">
                                  <wp:extent cx="5811520" cy="3550920"/>
                                  <wp:effectExtent l="0" t="0" r="0" b="0"/>
                                  <wp:docPr id="95" name="Image2 Copy 2" descr="A map of a p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Image2 Copy 2" descr="A map of a park&#10;&#10;Description automatically generated"/>
                                          <pic:cNvPicPr>
                                            <a:picLocks noChangeAspect="1" noChangeArrowheads="1"/>
                                          </pic:cNvPicPr>
                                        </pic:nvPicPr>
                                        <pic:blipFill>
                                          <a:blip r:embed="rId95"/>
                                          <a:stretch>
                                            <a:fillRect/>
                                          </a:stretch>
                                        </pic:blipFill>
                                        <pic:spPr bwMode="auto">
                                          <a:xfrm>
                                            <a:off x="0" y="0"/>
                                            <a:ext cx="5811520" cy="3550920"/>
                                          </a:xfrm>
                                          <a:prstGeom prst="rect">
                                            <a:avLst/>
                                          </a:prstGeom>
                                          <a:noFill/>
                                        </pic:spPr>
                                      </pic:pic>
                                    </a:graphicData>
                                  </a:graphic>
                                </wp:inline>
                              </w:drawing>
                            </w:r>
                            <w:r>
                              <w:rPr>
                                <w:color w:val="000000"/>
                              </w:rPr>
                              <w:t>Daugiafunkcės aikštelės išdėstymo schema</w:t>
                            </w:r>
                          </w:p>
                        </w:txbxContent>
                      </wps:txbx>
                      <wps:bodyPr lIns="0" rIns="0" tIns="0" bIns="0" anchor="t">
                        <a:noAutofit/>
                      </wps:bodyPr>
                    </wps:wsp>
                  </a:graphicData>
                </a:graphic>
              </wp:inline>
            </w:drawing>
          </mc:Choice>
          <mc:Fallback>
            <w:pict>
              <v:rect id="shape_0" ID="Frame2" path="m0,0l-2147483645,0l-2147483645,-2147483646l0,-2147483646xe" fillcolor="white" stroked="f" o:allowincell="f" style="position:absolute;margin-left:0pt;margin-top:-291.15pt;width:457.55pt;height:291.05pt;mso-wrap-style:square;v-text-anchor:top;mso-position-vertical:top">
                <v:fill o:detectmouseclick="t" type="solid" color2="black"/>
                <v:stroke color="#3465a4" joinstyle="round" endcap="flat"/>
                <v:textbox>
                  <w:txbxContent>
                    <w:p>
                      <w:pPr>
                        <w:pStyle w:val="Caption"/>
                        <w:spacing w:lineRule="auto" w:line="240" w:before="0" w:after="120"/>
                        <w:ind w:hanging="0"/>
                        <w:rPr/>
                      </w:pPr>
                      <w:r>
                        <w:rPr>
                          <w:color w:val="000000"/>
                        </w:rPr>
                        <w:drawing>
                          <wp:inline distT="0" distB="0" distL="0" distR="0">
                            <wp:extent cx="5811520" cy="3550920"/>
                            <wp:effectExtent l="0" t="0" r="0" b="0"/>
                            <wp:docPr id="96" name="Image2 Copy 2" descr="A map of a p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2 Copy 2" descr="A map of a park&#10;&#10;Description automatically generated"/>
                                    <pic:cNvPicPr>
                                      <a:picLocks noChangeAspect="1" noChangeArrowheads="1"/>
                                    </pic:cNvPicPr>
                                  </pic:nvPicPr>
                                  <pic:blipFill>
                                    <a:blip r:embed="rId96"/>
                                    <a:stretch>
                                      <a:fillRect/>
                                    </a:stretch>
                                  </pic:blipFill>
                                  <pic:spPr bwMode="auto">
                                    <a:xfrm>
                                      <a:off x="0" y="0"/>
                                      <a:ext cx="5811520" cy="3550920"/>
                                    </a:xfrm>
                                    <a:prstGeom prst="rect">
                                      <a:avLst/>
                                    </a:prstGeom>
                                    <a:noFill/>
                                  </pic:spPr>
                                </pic:pic>
                              </a:graphicData>
                            </a:graphic>
                          </wp:inline>
                        </w:drawing>
                      </w:r>
                      <w:r>
                        <w:rPr>
                          <w:color w:val="000000"/>
                        </w:rPr>
                        <w:t>Daugiafunkcės aikštelės išdėstymo schema</w:t>
                      </w:r>
                    </w:p>
                  </w:txbxContent>
                </v:textbox>
                <w10:wrap type="square"/>
              </v:rect>
            </w:pict>
          </mc:Fallback>
        </mc:AlternateContent>
      </w:r>
    </w:p>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r>
    </w:p>
    <w:p>
      <w:pPr>
        <w:pStyle w:val="Caption"/>
        <w:keepNext w:val="true"/>
        <w:rPr>
          <w:color w:val="auto"/>
        </w:rPr>
      </w:pPr>
      <w:r>
        <w:rPr>
          <w:color w:val="auto"/>
        </w:rPr>
        <w:t>Daugiafunkcės aikštelės įrengimų žiniaraštis</w:t>
      </w:r>
    </w:p>
    <w:tbl>
      <w:tblPr>
        <w:tblStyle w:val="TableGrid"/>
        <w:tblW w:w="10343" w:type="dxa"/>
        <w:jc w:val="left"/>
        <w:tblInd w:w="113" w:type="dxa"/>
        <w:tblLayout w:type="fixed"/>
        <w:tblCellMar>
          <w:top w:w="0" w:type="dxa"/>
          <w:left w:w="108" w:type="dxa"/>
          <w:bottom w:w="0" w:type="dxa"/>
          <w:right w:w="108" w:type="dxa"/>
        </w:tblCellMar>
        <w:tblLook w:firstRow="1" w:noVBand="1" w:lastRow="0" w:firstColumn="1" w:lastColumn="0" w:noHBand="0" w:val="04a0"/>
      </w:tblPr>
      <w:tblGrid>
        <w:gridCol w:w="846"/>
        <w:gridCol w:w="5671"/>
        <w:gridCol w:w="1275"/>
        <w:gridCol w:w="2551"/>
      </w:tblGrid>
      <w:tr>
        <w:trPr/>
        <w:tc>
          <w:tcPr>
            <w:tcW w:w="846" w:type="dxa"/>
            <w:tcBorders/>
            <w:vAlign w:val="center"/>
          </w:tcPr>
          <w:p>
            <w:pPr>
              <w:pStyle w:val="Normal"/>
              <w:suppressAutoHyphens w:val="true"/>
              <w:spacing w:before="0" w:after="0"/>
              <w:jc w:val="center"/>
              <w:rPr>
                <w:color w:val="auto"/>
                <w:sz w:val="22"/>
              </w:rPr>
            </w:pPr>
            <w:r>
              <w:rPr>
                <w:rFonts w:ascii="Arial" w:hAnsi="Arial"/>
                <w:color w:val="auto"/>
                <w:sz w:val="20"/>
                <w:szCs w:val="20"/>
              </w:rPr>
              <w:t>Nr.</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Pavadinimas ir aprašymas</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szCs w:val="20"/>
              </w:rPr>
              <w:t>Mato vnt.</w:t>
            </w:r>
          </w:p>
        </w:tc>
        <w:tc>
          <w:tcPr>
            <w:tcW w:w="2551" w:type="dxa"/>
            <w:tcBorders/>
            <w:vAlign w:val="center"/>
          </w:tcPr>
          <w:p>
            <w:pPr>
              <w:pStyle w:val="Normal"/>
              <w:suppressAutoHyphens w:val="true"/>
              <w:spacing w:before="0" w:after="0"/>
              <w:jc w:val="center"/>
              <w:rPr>
                <w:color w:val="auto"/>
                <w:sz w:val="22"/>
              </w:rPr>
            </w:pPr>
            <w:r>
              <w:rPr>
                <w:rFonts w:ascii="Arial" w:hAnsi="Arial"/>
                <w:color w:val="auto"/>
                <w:sz w:val="20"/>
                <w:szCs w:val="20"/>
              </w:rPr>
              <w:t>Kiekis.</w:t>
            </w:r>
          </w:p>
        </w:tc>
      </w:tr>
      <w:tr>
        <w:trPr/>
        <w:tc>
          <w:tcPr>
            <w:tcW w:w="10343" w:type="dxa"/>
            <w:gridSpan w:val="4"/>
            <w:tcBorders/>
            <w:vAlign w:val="center"/>
          </w:tcPr>
          <w:p>
            <w:pPr>
              <w:pStyle w:val="Normal"/>
              <w:suppressAutoHyphens w:val="true"/>
              <w:spacing w:before="0" w:after="0"/>
              <w:jc w:val="left"/>
              <w:rPr>
                <w:color w:val="auto"/>
                <w:sz w:val="22"/>
              </w:rPr>
            </w:pPr>
            <w:r>
              <w:rPr>
                <w:rFonts w:ascii="Arial" w:hAnsi="Arial"/>
                <w:color w:val="auto"/>
                <w:sz w:val="20"/>
                <w:szCs w:val="20"/>
              </w:rPr>
              <w:t>Pastaba: Elementų važiuojamieji paviršiai skaičiuojami vertikalūs ir horizontalūs.</w:t>
            </w:r>
          </w:p>
        </w:tc>
      </w:tr>
      <w:tr>
        <w:trPr/>
        <w:tc>
          <w:tcPr>
            <w:tcW w:w="846" w:type="dxa"/>
            <w:tcBorders/>
            <w:vAlign w:val="center"/>
          </w:tcPr>
          <w:p>
            <w:pPr>
              <w:pStyle w:val="Normal"/>
              <w:suppressAutoHyphens w:val="true"/>
              <w:spacing w:before="0" w:after="0"/>
              <w:jc w:val="center"/>
              <w:rPr>
                <w:color w:val="auto"/>
                <w:sz w:val="22"/>
              </w:rPr>
            </w:pPr>
            <w:r>
              <w:rPr>
                <w:rFonts w:ascii="Arial" w:hAnsi="Arial"/>
                <w:color w:val="auto"/>
                <w:sz w:val="20"/>
                <w:szCs w:val="20"/>
              </w:rPr>
              <w:t>1.</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Klasikinė betoninė velo trasa su trim posūkiais ir 40 cm aukščio bangom.</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szCs w:val="20"/>
              </w:rPr>
              <w:t>m</w:t>
            </w:r>
            <w:r>
              <w:rPr>
                <w:rFonts w:ascii="Arial" w:hAnsi="Arial"/>
                <w:color w:val="auto"/>
                <w:sz w:val="20"/>
                <w:szCs w:val="20"/>
                <w:vertAlign w:val="superscript"/>
              </w:rPr>
              <w:t>2</w:t>
            </w:r>
          </w:p>
        </w:tc>
        <w:tc>
          <w:tcPr>
            <w:tcW w:w="2551" w:type="dxa"/>
            <w:tcBorders/>
            <w:vAlign w:val="center"/>
          </w:tcPr>
          <w:p>
            <w:pPr>
              <w:pStyle w:val="Normal"/>
              <w:suppressAutoHyphens w:val="true"/>
              <w:spacing w:before="0" w:after="0"/>
              <w:jc w:val="center"/>
              <w:rPr>
                <w:color w:val="auto"/>
                <w:sz w:val="22"/>
              </w:rPr>
            </w:pPr>
            <w:r>
              <w:rPr>
                <w:rFonts w:ascii="Arial" w:hAnsi="Arial"/>
                <w:color w:val="auto"/>
                <w:sz w:val="20"/>
                <w:szCs w:val="20"/>
              </w:rPr>
              <w:t>110.00</w:t>
            </w:r>
          </w:p>
        </w:tc>
      </w:tr>
      <w:tr>
        <w:trPr/>
        <w:tc>
          <w:tcPr>
            <w:tcW w:w="846" w:type="dxa"/>
            <w:tcBorders/>
            <w:vAlign w:val="center"/>
          </w:tcPr>
          <w:p>
            <w:pPr>
              <w:pStyle w:val="Normal"/>
              <w:suppressAutoHyphens w:val="true"/>
              <w:spacing w:before="0" w:after="0"/>
              <w:jc w:val="center"/>
              <w:rPr>
                <w:color w:val="auto"/>
                <w:sz w:val="22"/>
              </w:rPr>
            </w:pPr>
            <w:r>
              <w:rPr>
                <w:rFonts w:ascii="Arial" w:hAnsi="Arial"/>
                <w:color w:val="auto"/>
                <w:sz w:val="20"/>
                <w:szCs w:val="20"/>
              </w:rPr>
              <w:t>2.</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w:t>
            </w:r>
            <w:r>
              <w:rPr>
                <w:rFonts w:ascii="Arial" w:hAnsi="Arial"/>
                <w:color w:val="auto"/>
                <w:sz w:val="20"/>
                <w:szCs w:val="20"/>
              </w:rPr>
              <w:t>Skate surf“ pusrampių baseinas . Dviejų skirtingų lygių rampos sujungtos banga.</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szCs w:val="20"/>
              </w:rPr>
              <w:t>m</w:t>
            </w:r>
            <w:r>
              <w:rPr>
                <w:rFonts w:ascii="Arial" w:hAnsi="Arial"/>
                <w:color w:val="auto"/>
                <w:sz w:val="20"/>
                <w:szCs w:val="20"/>
                <w:vertAlign w:val="superscript"/>
              </w:rPr>
              <w:t>2</w:t>
            </w:r>
          </w:p>
        </w:tc>
        <w:tc>
          <w:tcPr>
            <w:tcW w:w="2551" w:type="dxa"/>
            <w:tcBorders/>
            <w:vAlign w:val="center"/>
          </w:tcPr>
          <w:p>
            <w:pPr>
              <w:pStyle w:val="Normal"/>
              <w:suppressAutoHyphens w:val="true"/>
              <w:spacing w:before="0" w:after="0"/>
              <w:jc w:val="center"/>
              <w:rPr>
                <w:color w:val="auto"/>
                <w:sz w:val="22"/>
              </w:rPr>
            </w:pPr>
            <w:r>
              <w:rPr>
                <w:rFonts w:ascii="Arial" w:hAnsi="Arial"/>
                <w:color w:val="auto"/>
                <w:sz w:val="20"/>
                <w:szCs w:val="20"/>
              </w:rPr>
              <w:t>221.00</w:t>
            </w:r>
          </w:p>
        </w:tc>
      </w:tr>
      <w:tr>
        <w:trPr/>
        <w:tc>
          <w:tcPr>
            <w:tcW w:w="846" w:type="dxa"/>
            <w:tcBorders/>
            <w:vAlign w:val="center"/>
          </w:tcPr>
          <w:p>
            <w:pPr>
              <w:pStyle w:val="Normal"/>
              <w:suppressAutoHyphens w:val="true"/>
              <w:spacing w:before="0" w:after="0"/>
              <w:jc w:val="center"/>
              <w:rPr>
                <w:color w:val="auto"/>
                <w:sz w:val="22"/>
              </w:rPr>
            </w:pPr>
            <w:r>
              <w:rPr>
                <w:rFonts w:ascii="Arial" w:hAnsi="Arial"/>
                <w:color w:val="auto"/>
                <w:sz w:val="20"/>
                <w:szCs w:val="20"/>
              </w:rPr>
              <w:t>3.1</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Rampa. Konsolinė rampa 2,0m aukščio ir 7m pločio.</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szCs w:val="20"/>
              </w:rPr>
              <w:t>m</w:t>
            </w:r>
            <w:r>
              <w:rPr>
                <w:rFonts w:ascii="Arial" w:hAnsi="Arial"/>
                <w:color w:val="auto"/>
                <w:sz w:val="20"/>
                <w:szCs w:val="20"/>
                <w:vertAlign w:val="superscript"/>
              </w:rPr>
              <w:t>2</w:t>
            </w:r>
          </w:p>
        </w:tc>
        <w:tc>
          <w:tcPr>
            <w:tcW w:w="2551" w:type="dxa"/>
            <w:tcBorders/>
            <w:vAlign w:val="center"/>
          </w:tcPr>
          <w:p>
            <w:pPr>
              <w:pStyle w:val="Normal"/>
              <w:suppressAutoHyphens w:val="true"/>
              <w:spacing w:before="0" w:after="0"/>
              <w:jc w:val="center"/>
              <w:rPr>
                <w:color w:val="auto"/>
                <w:sz w:val="22"/>
              </w:rPr>
            </w:pPr>
            <w:r>
              <w:rPr>
                <w:rFonts w:ascii="Arial" w:hAnsi="Arial"/>
                <w:color w:val="auto"/>
                <w:sz w:val="20"/>
                <w:szCs w:val="20"/>
              </w:rPr>
              <w:t>24.00</w:t>
            </w:r>
          </w:p>
        </w:tc>
      </w:tr>
      <w:tr>
        <w:trPr>
          <w:trHeight w:val="302" w:hRule="atLeast"/>
        </w:trPr>
        <w:tc>
          <w:tcPr>
            <w:tcW w:w="846" w:type="dxa"/>
            <w:tcBorders/>
            <w:vAlign w:val="center"/>
          </w:tcPr>
          <w:p>
            <w:pPr>
              <w:pStyle w:val="Normal"/>
              <w:suppressAutoHyphens w:val="true"/>
              <w:spacing w:before="0" w:after="0"/>
              <w:jc w:val="center"/>
              <w:rPr>
                <w:color w:val="auto"/>
                <w:sz w:val="22"/>
              </w:rPr>
            </w:pPr>
            <w:r>
              <w:rPr>
                <w:rFonts w:ascii="Arial" w:hAnsi="Arial"/>
                <w:color w:val="auto"/>
                <w:sz w:val="20"/>
                <w:szCs w:val="20"/>
              </w:rPr>
              <w:t>3.2</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Piramidės kampas. Rampos aukštis 80 cm.</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szCs w:val="20"/>
              </w:rPr>
              <w:t>m</w:t>
            </w:r>
            <w:r>
              <w:rPr>
                <w:rFonts w:ascii="Arial" w:hAnsi="Arial"/>
                <w:color w:val="auto"/>
                <w:sz w:val="20"/>
                <w:szCs w:val="20"/>
                <w:vertAlign w:val="superscript"/>
              </w:rPr>
              <w:t>2</w:t>
            </w:r>
          </w:p>
        </w:tc>
        <w:tc>
          <w:tcPr>
            <w:tcW w:w="2551" w:type="dxa"/>
            <w:tcBorders/>
            <w:vAlign w:val="center"/>
          </w:tcPr>
          <w:p>
            <w:pPr>
              <w:pStyle w:val="Normal"/>
              <w:suppressAutoHyphens w:val="true"/>
              <w:spacing w:before="0" w:after="0"/>
              <w:jc w:val="center"/>
              <w:rPr>
                <w:color w:val="auto"/>
                <w:sz w:val="22"/>
              </w:rPr>
            </w:pPr>
            <w:r>
              <w:rPr>
                <w:rFonts w:ascii="Arial" w:hAnsi="Arial"/>
                <w:color w:val="auto"/>
                <w:sz w:val="20"/>
                <w:szCs w:val="20"/>
              </w:rPr>
              <w:t>32.00</w:t>
            </w:r>
          </w:p>
        </w:tc>
      </w:tr>
      <w:tr>
        <w:trPr/>
        <w:tc>
          <w:tcPr>
            <w:tcW w:w="846" w:type="dxa"/>
            <w:tcBorders/>
            <w:vAlign w:val="center"/>
          </w:tcPr>
          <w:p>
            <w:pPr>
              <w:pStyle w:val="Normal"/>
              <w:suppressAutoHyphens w:val="true"/>
              <w:spacing w:before="0" w:after="0"/>
              <w:jc w:val="center"/>
              <w:rPr>
                <w:color w:val="auto"/>
                <w:sz w:val="22"/>
              </w:rPr>
            </w:pPr>
            <w:r>
              <w:rPr>
                <w:rFonts w:ascii="Arial" w:hAnsi="Arial"/>
                <w:color w:val="auto"/>
                <w:sz w:val="20"/>
                <w:szCs w:val="20"/>
              </w:rPr>
              <w:t>3.3</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Banga. Bangos aukštis 30 cm</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szCs w:val="20"/>
              </w:rPr>
              <w:t>m</w:t>
            </w:r>
            <w:r>
              <w:rPr>
                <w:rFonts w:ascii="Arial" w:hAnsi="Arial"/>
                <w:color w:val="auto"/>
                <w:sz w:val="20"/>
                <w:szCs w:val="20"/>
                <w:vertAlign w:val="superscript"/>
              </w:rPr>
              <w:t>2</w:t>
            </w:r>
          </w:p>
        </w:tc>
        <w:tc>
          <w:tcPr>
            <w:tcW w:w="2551" w:type="dxa"/>
            <w:tcBorders/>
            <w:vAlign w:val="center"/>
          </w:tcPr>
          <w:p>
            <w:pPr>
              <w:pStyle w:val="Normal"/>
              <w:suppressAutoHyphens w:val="true"/>
              <w:spacing w:before="0" w:after="0"/>
              <w:jc w:val="center"/>
              <w:rPr>
                <w:color w:val="auto"/>
                <w:sz w:val="22"/>
              </w:rPr>
            </w:pPr>
            <w:r>
              <w:rPr>
                <w:rFonts w:ascii="Arial" w:hAnsi="Arial"/>
                <w:color w:val="auto"/>
                <w:sz w:val="20"/>
                <w:szCs w:val="20"/>
              </w:rPr>
              <w:t>13.50</w:t>
            </w:r>
          </w:p>
        </w:tc>
      </w:tr>
      <w:tr>
        <w:trPr/>
        <w:tc>
          <w:tcPr>
            <w:tcW w:w="846" w:type="dxa"/>
            <w:tcBorders/>
            <w:vAlign w:val="center"/>
          </w:tcPr>
          <w:p>
            <w:pPr>
              <w:pStyle w:val="Normal"/>
              <w:suppressAutoHyphens w:val="true"/>
              <w:spacing w:before="0" w:after="0"/>
              <w:jc w:val="center"/>
              <w:rPr>
                <w:color w:val="auto"/>
                <w:sz w:val="22"/>
              </w:rPr>
            </w:pPr>
            <w:r>
              <w:rPr>
                <w:rFonts w:ascii="Arial" w:hAnsi="Arial"/>
                <w:color w:val="auto"/>
                <w:sz w:val="20"/>
                <w:szCs w:val="20"/>
              </w:rPr>
              <w:t>3.4</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Bangos posūkis</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szCs w:val="20"/>
              </w:rPr>
              <w:t>m</w:t>
            </w:r>
            <w:r>
              <w:rPr>
                <w:rFonts w:ascii="Arial" w:hAnsi="Arial"/>
                <w:color w:val="auto"/>
                <w:sz w:val="20"/>
                <w:szCs w:val="20"/>
                <w:vertAlign w:val="superscript"/>
              </w:rPr>
              <w:t>2</w:t>
            </w:r>
          </w:p>
        </w:tc>
        <w:tc>
          <w:tcPr>
            <w:tcW w:w="2551" w:type="dxa"/>
            <w:tcBorders/>
            <w:vAlign w:val="center"/>
          </w:tcPr>
          <w:p>
            <w:pPr>
              <w:pStyle w:val="Normal"/>
              <w:suppressAutoHyphens w:val="true"/>
              <w:spacing w:before="0" w:after="0"/>
              <w:jc w:val="center"/>
              <w:rPr>
                <w:color w:val="auto"/>
                <w:sz w:val="22"/>
              </w:rPr>
            </w:pPr>
            <w:r>
              <w:rPr>
                <w:rFonts w:ascii="Arial" w:hAnsi="Arial"/>
                <w:color w:val="auto"/>
                <w:sz w:val="20"/>
                <w:szCs w:val="20"/>
              </w:rPr>
              <w:t>13.50</w:t>
            </w:r>
          </w:p>
        </w:tc>
      </w:tr>
      <w:tr>
        <w:trPr/>
        <w:tc>
          <w:tcPr>
            <w:tcW w:w="846" w:type="dxa"/>
            <w:tcBorders/>
            <w:vAlign w:val="center"/>
          </w:tcPr>
          <w:p>
            <w:pPr>
              <w:pStyle w:val="Normal"/>
              <w:suppressAutoHyphens w:val="true"/>
              <w:spacing w:before="0" w:after="0"/>
              <w:jc w:val="center"/>
              <w:rPr>
                <w:color w:val="auto"/>
                <w:sz w:val="22"/>
              </w:rPr>
            </w:pPr>
            <w:r>
              <w:rPr>
                <w:rFonts w:ascii="Arial" w:hAnsi="Arial"/>
                <w:color w:val="auto"/>
                <w:sz w:val="20"/>
                <w:szCs w:val="20"/>
              </w:rPr>
              <w:t>3.5</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Vulkanas. Elemento aukštis 1,2 m.</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szCs w:val="20"/>
              </w:rPr>
              <w:t>m</w:t>
            </w:r>
            <w:r>
              <w:rPr>
                <w:rFonts w:ascii="Arial" w:hAnsi="Arial"/>
                <w:color w:val="auto"/>
                <w:sz w:val="20"/>
                <w:szCs w:val="20"/>
                <w:vertAlign w:val="superscript"/>
              </w:rPr>
              <w:t>2</w:t>
            </w:r>
          </w:p>
        </w:tc>
        <w:tc>
          <w:tcPr>
            <w:tcW w:w="2551" w:type="dxa"/>
            <w:tcBorders/>
            <w:vAlign w:val="center"/>
          </w:tcPr>
          <w:p>
            <w:pPr>
              <w:pStyle w:val="Normal"/>
              <w:suppressAutoHyphens w:val="true"/>
              <w:spacing w:before="0" w:after="0"/>
              <w:jc w:val="center"/>
              <w:rPr>
                <w:color w:val="auto"/>
                <w:sz w:val="22"/>
              </w:rPr>
            </w:pPr>
            <w:r>
              <w:rPr>
                <w:rFonts w:ascii="Arial" w:hAnsi="Arial"/>
                <w:color w:val="auto"/>
                <w:sz w:val="20"/>
                <w:szCs w:val="20"/>
              </w:rPr>
              <w:t>33.00</w:t>
            </w:r>
          </w:p>
        </w:tc>
      </w:tr>
      <w:tr>
        <w:trPr/>
        <w:tc>
          <w:tcPr>
            <w:tcW w:w="846" w:type="dxa"/>
            <w:tcBorders/>
            <w:vAlign w:val="center"/>
          </w:tcPr>
          <w:p>
            <w:pPr>
              <w:pStyle w:val="Normal"/>
              <w:suppressAutoHyphens w:val="true"/>
              <w:spacing w:before="0" w:after="0"/>
              <w:jc w:val="center"/>
              <w:rPr>
                <w:color w:val="auto"/>
                <w:sz w:val="22"/>
              </w:rPr>
            </w:pPr>
            <w:r>
              <w:rPr>
                <w:rFonts w:ascii="Arial" w:hAnsi="Arial"/>
                <w:color w:val="auto"/>
                <w:sz w:val="20"/>
                <w:szCs w:val="20"/>
              </w:rPr>
              <w:t>3.6</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Bangų kompleksas. Trys iš eilės einančios bangos kurių kiekvienos aukštis 40 cm ir iš abiejų pusių eina banguojantys čiuožimo turėklai.</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szCs w:val="20"/>
              </w:rPr>
              <w:t>m</w:t>
            </w:r>
            <w:r>
              <w:rPr>
                <w:rFonts w:ascii="Arial" w:hAnsi="Arial"/>
                <w:color w:val="auto"/>
                <w:sz w:val="20"/>
                <w:szCs w:val="20"/>
                <w:vertAlign w:val="superscript"/>
              </w:rPr>
              <w:t>2</w:t>
            </w:r>
          </w:p>
        </w:tc>
        <w:tc>
          <w:tcPr>
            <w:tcW w:w="2551" w:type="dxa"/>
            <w:tcBorders/>
            <w:vAlign w:val="center"/>
          </w:tcPr>
          <w:p>
            <w:pPr>
              <w:pStyle w:val="Normal"/>
              <w:suppressAutoHyphens w:val="true"/>
              <w:spacing w:before="0" w:after="0"/>
              <w:jc w:val="center"/>
              <w:rPr>
                <w:color w:val="auto"/>
                <w:sz w:val="22"/>
              </w:rPr>
            </w:pPr>
            <w:r>
              <w:rPr>
                <w:rFonts w:ascii="Arial" w:hAnsi="Arial"/>
                <w:color w:val="auto"/>
                <w:sz w:val="20"/>
                <w:szCs w:val="20"/>
              </w:rPr>
              <w:t>45.00</w:t>
            </w:r>
          </w:p>
        </w:tc>
      </w:tr>
      <w:tr>
        <w:trPr/>
        <w:tc>
          <w:tcPr>
            <w:tcW w:w="846" w:type="dxa"/>
            <w:tcBorders/>
            <w:vAlign w:val="center"/>
          </w:tcPr>
          <w:p>
            <w:pPr>
              <w:pStyle w:val="Normal"/>
              <w:suppressAutoHyphens w:val="true"/>
              <w:spacing w:before="0" w:after="0"/>
              <w:jc w:val="center"/>
              <w:rPr>
                <w:color w:val="auto"/>
                <w:sz w:val="22"/>
              </w:rPr>
            </w:pPr>
            <w:r>
              <w:rPr>
                <w:rFonts w:ascii="Arial" w:hAnsi="Arial"/>
                <w:color w:val="auto"/>
                <w:sz w:val="20"/>
                <w:szCs w:val="20"/>
              </w:rPr>
              <w:t>3.7</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Pusrampių piramidės kampas. Elemento aukštis 1200. Briaunos „roll in“ tipo.</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szCs w:val="20"/>
              </w:rPr>
              <w:t>m</w:t>
            </w:r>
            <w:r>
              <w:rPr>
                <w:rFonts w:ascii="Arial" w:hAnsi="Arial"/>
                <w:color w:val="auto"/>
                <w:sz w:val="20"/>
                <w:szCs w:val="20"/>
                <w:vertAlign w:val="superscript"/>
              </w:rPr>
              <w:t>2</w:t>
            </w:r>
          </w:p>
        </w:tc>
        <w:tc>
          <w:tcPr>
            <w:tcW w:w="2551" w:type="dxa"/>
            <w:tcBorders/>
            <w:vAlign w:val="center"/>
          </w:tcPr>
          <w:p>
            <w:pPr>
              <w:pStyle w:val="Normal"/>
              <w:suppressAutoHyphens w:val="true"/>
              <w:spacing w:before="0" w:after="0"/>
              <w:jc w:val="center"/>
              <w:rPr>
                <w:color w:val="auto"/>
                <w:sz w:val="22"/>
              </w:rPr>
            </w:pPr>
            <w:r>
              <w:rPr>
                <w:rFonts w:ascii="Arial" w:hAnsi="Arial"/>
                <w:color w:val="auto"/>
                <w:sz w:val="20"/>
                <w:szCs w:val="20"/>
              </w:rPr>
              <w:t>29 m2</w:t>
            </w:r>
          </w:p>
        </w:tc>
      </w:tr>
      <w:tr>
        <w:trPr/>
        <w:tc>
          <w:tcPr>
            <w:tcW w:w="846" w:type="dxa"/>
            <w:tcBorders/>
            <w:vAlign w:val="center"/>
          </w:tcPr>
          <w:p>
            <w:pPr>
              <w:pStyle w:val="Normal"/>
              <w:suppressAutoHyphens w:val="true"/>
              <w:spacing w:before="0" w:after="0"/>
              <w:jc w:val="center"/>
              <w:rPr>
                <w:color w:val="auto"/>
                <w:sz w:val="22"/>
              </w:rPr>
            </w:pPr>
            <w:r>
              <w:rPr>
                <w:rFonts w:ascii="Arial" w:hAnsi="Arial"/>
                <w:color w:val="auto"/>
                <w:sz w:val="20"/>
                <w:szCs w:val="20"/>
              </w:rPr>
              <w:t>3.8</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Elipsinė rampa. Rampos aukštis 1,25 m.</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szCs w:val="20"/>
              </w:rPr>
              <w:t>m</w:t>
            </w:r>
            <w:r>
              <w:rPr>
                <w:rFonts w:ascii="Arial" w:hAnsi="Arial"/>
                <w:color w:val="auto"/>
                <w:sz w:val="20"/>
                <w:szCs w:val="20"/>
                <w:vertAlign w:val="superscript"/>
              </w:rPr>
              <w:t>2</w:t>
            </w:r>
          </w:p>
        </w:tc>
        <w:tc>
          <w:tcPr>
            <w:tcW w:w="2551" w:type="dxa"/>
            <w:tcBorders/>
            <w:vAlign w:val="center"/>
          </w:tcPr>
          <w:p>
            <w:pPr>
              <w:pStyle w:val="Normal"/>
              <w:suppressAutoHyphens w:val="true"/>
              <w:spacing w:before="0" w:after="0"/>
              <w:jc w:val="center"/>
              <w:rPr>
                <w:color w:val="auto"/>
                <w:sz w:val="22"/>
              </w:rPr>
            </w:pPr>
            <w:r>
              <w:rPr>
                <w:rFonts w:ascii="Arial" w:hAnsi="Arial"/>
                <w:color w:val="auto"/>
                <w:sz w:val="20"/>
                <w:szCs w:val="20"/>
              </w:rPr>
              <w:t>15.00</w:t>
            </w:r>
          </w:p>
        </w:tc>
      </w:tr>
      <w:tr>
        <w:trPr/>
        <w:tc>
          <w:tcPr>
            <w:tcW w:w="846" w:type="dxa"/>
            <w:tcBorders/>
            <w:vAlign w:val="center"/>
          </w:tcPr>
          <w:p>
            <w:pPr>
              <w:pStyle w:val="Normal"/>
              <w:suppressAutoHyphens w:val="true"/>
              <w:spacing w:before="0" w:after="0"/>
              <w:jc w:val="center"/>
              <w:rPr>
                <w:color w:val="auto"/>
                <w:sz w:val="22"/>
              </w:rPr>
            </w:pPr>
            <w:r>
              <w:rPr>
                <w:rFonts w:ascii="Arial" w:hAnsi="Arial"/>
                <w:color w:val="auto"/>
                <w:sz w:val="20"/>
                <w:szCs w:val="20"/>
              </w:rPr>
              <w:t>3.9</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Banga. Bangos aukštis 90 cm.</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szCs w:val="20"/>
              </w:rPr>
              <w:t>m</w:t>
            </w:r>
            <w:r>
              <w:rPr>
                <w:rFonts w:ascii="Arial" w:hAnsi="Arial"/>
                <w:color w:val="auto"/>
                <w:sz w:val="20"/>
                <w:szCs w:val="20"/>
                <w:vertAlign w:val="superscript"/>
              </w:rPr>
              <w:t>2</w:t>
            </w:r>
          </w:p>
        </w:tc>
        <w:tc>
          <w:tcPr>
            <w:tcW w:w="2551" w:type="dxa"/>
            <w:tcBorders/>
            <w:vAlign w:val="center"/>
          </w:tcPr>
          <w:p>
            <w:pPr>
              <w:pStyle w:val="Normal"/>
              <w:suppressAutoHyphens w:val="true"/>
              <w:spacing w:before="0" w:after="0"/>
              <w:jc w:val="center"/>
              <w:rPr>
                <w:color w:val="auto"/>
                <w:sz w:val="22"/>
              </w:rPr>
            </w:pPr>
            <w:r>
              <w:rPr>
                <w:rFonts w:ascii="Arial" w:hAnsi="Arial"/>
                <w:color w:val="auto"/>
                <w:sz w:val="20"/>
                <w:szCs w:val="20"/>
              </w:rPr>
              <w:t>29.60</w:t>
            </w:r>
          </w:p>
        </w:tc>
      </w:tr>
      <w:tr>
        <w:trPr/>
        <w:tc>
          <w:tcPr>
            <w:tcW w:w="846" w:type="dxa"/>
            <w:tcBorders/>
            <w:vAlign w:val="center"/>
          </w:tcPr>
          <w:p>
            <w:pPr>
              <w:pStyle w:val="Normal"/>
              <w:suppressAutoHyphens w:val="true"/>
              <w:spacing w:before="0" w:after="0"/>
              <w:jc w:val="center"/>
              <w:rPr>
                <w:color w:val="auto"/>
                <w:sz w:val="22"/>
              </w:rPr>
            </w:pPr>
            <w:r>
              <w:rPr>
                <w:rFonts w:ascii="Arial" w:hAnsi="Arial"/>
                <w:color w:val="auto"/>
                <w:sz w:val="20"/>
                <w:szCs w:val="20"/>
              </w:rPr>
              <w:t>3.10</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Elipsinė rampa. Rampos aukštis 1,20 m.</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szCs w:val="20"/>
              </w:rPr>
              <w:t>m</w:t>
            </w:r>
            <w:r>
              <w:rPr>
                <w:rFonts w:ascii="Arial" w:hAnsi="Arial"/>
                <w:color w:val="auto"/>
                <w:sz w:val="20"/>
                <w:szCs w:val="20"/>
                <w:vertAlign w:val="superscript"/>
              </w:rPr>
              <w:t>2</w:t>
            </w:r>
          </w:p>
        </w:tc>
        <w:tc>
          <w:tcPr>
            <w:tcW w:w="2551" w:type="dxa"/>
            <w:tcBorders/>
            <w:vAlign w:val="center"/>
          </w:tcPr>
          <w:p>
            <w:pPr>
              <w:pStyle w:val="Normal"/>
              <w:suppressAutoHyphens w:val="true"/>
              <w:spacing w:before="0" w:after="0"/>
              <w:jc w:val="center"/>
              <w:rPr>
                <w:color w:val="auto"/>
                <w:sz w:val="22"/>
              </w:rPr>
            </w:pPr>
            <w:r>
              <w:rPr>
                <w:rFonts w:ascii="Arial" w:hAnsi="Arial"/>
                <w:color w:val="auto"/>
                <w:sz w:val="20"/>
                <w:szCs w:val="20"/>
              </w:rPr>
              <w:t>16.50</w:t>
            </w:r>
          </w:p>
        </w:tc>
      </w:tr>
      <w:tr>
        <w:trPr/>
        <w:tc>
          <w:tcPr>
            <w:tcW w:w="846" w:type="dxa"/>
            <w:tcBorders/>
            <w:vAlign w:val="center"/>
          </w:tcPr>
          <w:p>
            <w:pPr>
              <w:pStyle w:val="Normal"/>
              <w:suppressAutoHyphens w:val="true"/>
              <w:spacing w:before="0" w:after="0"/>
              <w:jc w:val="center"/>
              <w:rPr>
                <w:color w:val="auto"/>
                <w:sz w:val="22"/>
              </w:rPr>
            </w:pPr>
            <w:r>
              <w:rPr>
                <w:rFonts w:ascii="Arial" w:hAnsi="Arial"/>
                <w:color w:val="auto"/>
                <w:sz w:val="20"/>
                <w:szCs w:val="20"/>
              </w:rPr>
              <w:t>3.11</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Banga. Bangos aukštis 40 cm.</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szCs w:val="20"/>
              </w:rPr>
              <w:t>m</w:t>
            </w:r>
            <w:r>
              <w:rPr>
                <w:rFonts w:ascii="Arial" w:hAnsi="Arial"/>
                <w:color w:val="auto"/>
                <w:sz w:val="20"/>
                <w:szCs w:val="20"/>
                <w:vertAlign w:val="superscript"/>
              </w:rPr>
              <w:t>2</w:t>
            </w:r>
          </w:p>
        </w:tc>
        <w:tc>
          <w:tcPr>
            <w:tcW w:w="2551" w:type="dxa"/>
            <w:tcBorders/>
            <w:vAlign w:val="center"/>
          </w:tcPr>
          <w:p>
            <w:pPr>
              <w:pStyle w:val="Normal"/>
              <w:suppressAutoHyphens w:val="true"/>
              <w:spacing w:before="0" w:after="0"/>
              <w:jc w:val="center"/>
              <w:rPr>
                <w:color w:val="auto"/>
                <w:sz w:val="22"/>
              </w:rPr>
            </w:pPr>
            <w:r>
              <w:rPr>
                <w:rFonts w:ascii="Arial" w:hAnsi="Arial"/>
                <w:color w:val="auto"/>
                <w:sz w:val="20"/>
                <w:szCs w:val="20"/>
              </w:rPr>
              <w:t>11.00</w:t>
            </w:r>
          </w:p>
        </w:tc>
      </w:tr>
      <w:tr>
        <w:trPr/>
        <w:tc>
          <w:tcPr>
            <w:tcW w:w="846" w:type="dxa"/>
            <w:tcBorders/>
            <w:vAlign w:val="center"/>
          </w:tcPr>
          <w:p>
            <w:pPr>
              <w:pStyle w:val="Normal"/>
              <w:suppressAutoHyphens w:val="true"/>
              <w:spacing w:before="0" w:after="0"/>
              <w:jc w:val="center"/>
              <w:rPr>
                <w:color w:val="auto"/>
                <w:sz w:val="22"/>
              </w:rPr>
            </w:pPr>
            <w:r>
              <w:rPr>
                <w:rFonts w:ascii="Arial" w:hAnsi="Arial"/>
                <w:color w:val="auto"/>
                <w:sz w:val="20"/>
                <w:szCs w:val="20"/>
              </w:rPr>
              <w:t>3.12</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Banga. Bangos aukštis 85 cm.</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szCs w:val="20"/>
              </w:rPr>
              <w:t>m</w:t>
            </w:r>
            <w:r>
              <w:rPr>
                <w:rFonts w:ascii="Arial" w:hAnsi="Arial"/>
                <w:color w:val="auto"/>
                <w:sz w:val="20"/>
                <w:szCs w:val="20"/>
                <w:vertAlign w:val="superscript"/>
              </w:rPr>
              <w:t>2</w:t>
            </w:r>
          </w:p>
        </w:tc>
        <w:tc>
          <w:tcPr>
            <w:tcW w:w="2551" w:type="dxa"/>
            <w:tcBorders/>
            <w:vAlign w:val="center"/>
          </w:tcPr>
          <w:p>
            <w:pPr>
              <w:pStyle w:val="Normal"/>
              <w:suppressAutoHyphens w:val="true"/>
              <w:spacing w:before="0" w:after="0"/>
              <w:jc w:val="center"/>
              <w:rPr>
                <w:color w:val="auto"/>
                <w:sz w:val="22"/>
              </w:rPr>
            </w:pPr>
            <w:r>
              <w:rPr>
                <w:rFonts w:ascii="Arial" w:hAnsi="Arial"/>
                <w:color w:val="auto"/>
                <w:sz w:val="20"/>
                <w:szCs w:val="20"/>
              </w:rPr>
              <w:t>13.40</w:t>
            </w:r>
          </w:p>
        </w:tc>
      </w:tr>
      <w:tr>
        <w:trPr/>
        <w:tc>
          <w:tcPr>
            <w:tcW w:w="846" w:type="dxa"/>
            <w:tcBorders/>
            <w:vAlign w:val="center"/>
          </w:tcPr>
          <w:p>
            <w:pPr>
              <w:pStyle w:val="Normal"/>
              <w:suppressAutoHyphens w:val="true"/>
              <w:spacing w:before="0" w:after="0"/>
              <w:jc w:val="center"/>
              <w:rPr>
                <w:color w:val="auto"/>
                <w:sz w:val="22"/>
              </w:rPr>
            </w:pPr>
            <w:r>
              <w:rPr>
                <w:rFonts w:ascii="Arial" w:hAnsi="Arial"/>
                <w:color w:val="auto"/>
                <w:sz w:val="20"/>
                <w:szCs w:val="20"/>
              </w:rPr>
              <w:t>3.13</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Pusrampė. Pusrampės aukštis 80 cm.</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szCs w:val="20"/>
              </w:rPr>
              <w:t>m</w:t>
            </w:r>
            <w:r>
              <w:rPr>
                <w:rFonts w:ascii="Arial" w:hAnsi="Arial"/>
                <w:color w:val="auto"/>
                <w:sz w:val="20"/>
                <w:szCs w:val="20"/>
                <w:vertAlign w:val="superscript"/>
              </w:rPr>
              <w:t>2</w:t>
            </w:r>
          </w:p>
        </w:tc>
        <w:tc>
          <w:tcPr>
            <w:tcW w:w="2551" w:type="dxa"/>
            <w:tcBorders/>
            <w:vAlign w:val="center"/>
          </w:tcPr>
          <w:p>
            <w:pPr>
              <w:pStyle w:val="Normal"/>
              <w:suppressAutoHyphens w:val="true"/>
              <w:spacing w:before="0" w:after="0"/>
              <w:jc w:val="center"/>
              <w:rPr>
                <w:color w:val="auto"/>
                <w:sz w:val="22"/>
              </w:rPr>
            </w:pPr>
            <w:r>
              <w:rPr>
                <w:rFonts w:ascii="Arial" w:hAnsi="Arial"/>
                <w:color w:val="auto"/>
                <w:sz w:val="20"/>
                <w:szCs w:val="20"/>
              </w:rPr>
              <w:t>22.40</w:t>
            </w:r>
          </w:p>
        </w:tc>
      </w:tr>
      <w:tr>
        <w:trPr/>
        <w:tc>
          <w:tcPr>
            <w:tcW w:w="846" w:type="dxa"/>
            <w:tcBorders/>
            <w:vAlign w:val="center"/>
          </w:tcPr>
          <w:p>
            <w:pPr>
              <w:pStyle w:val="Normal"/>
              <w:suppressAutoHyphens w:val="true"/>
              <w:spacing w:before="0" w:after="0"/>
              <w:jc w:val="center"/>
              <w:rPr>
                <w:color w:val="auto"/>
                <w:sz w:val="22"/>
              </w:rPr>
            </w:pPr>
            <w:r>
              <w:rPr>
                <w:rFonts w:ascii="Arial" w:hAnsi="Arial"/>
                <w:color w:val="auto"/>
                <w:sz w:val="20"/>
                <w:szCs w:val="20"/>
              </w:rPr>
              <w:t>3.14</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Banga. Bangos aukštis 40 cm.</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szCs w:val="20"/>
              </w:rPr>
              <w:t>m</w:t>
            </w:r>
            <w:r>
              <w:rPr>
                <w:rFonts w:ascii="Arial" w:hAnsi="Arial"/>
                <w:color w:val="auto"/>
                <w:sz w:val="20"/>
                <w:szCs w:val="20"/>
                <w:vertAlign w:val="superscript"/>
              </w:rPr>
              <w:t>2</w:t>
            </w:r>
          </w:p>
        </w:tc>
        <w:tc>
          <w:tcPr>
            <w:tcW w:w="2551" w:type="dxa"/>
            <w:tcBorders/>
            <w:vAlign w:val="center"/>
          </w:tcPr>
          <w:p>
            <w:pPr>
              <w:pStyle w:val="Normal"/>
              <w:suppressAutoHyphens w:val="true"/>
              <w:spacing w:before="0" w:after="0"/>
              <w:jc w:val="center"/>
              <w:rPr>
                <w:color w:val="auto"/>
                <w:sz w:val="22"/>
              </w:rPr>
            </w:pPr>
            <w:r>
              <w:rPr>
                <w:rFonts w:ascii="Arial" w:hAnsi="Arial"/>
                <w:color w:val="auto"/>
                <w:sz w:val="20"/>
                <w:szCs w:val="20"/>
              </w:rPr>
              <w:t>11.00</w:t>
            </w:r>
          </w:p>
        </w:tc>
      </w:tr>
      <w:tr>
        <w:trPr/>
        <w:tc>
          <w:tcPr>
            <w:tcW w:w="846" w:type="dxa"/>
            <w:tcBorders/>
            <w:vAlign w:val="center"/>
          </w:tcPr>
          <w:p>
            <w:pPr>
              <w:pStyle w:val="Normal"/>
              <w:suppressAutoHyphens w:val="true"/>
              <w:spacing w:before="0" w:after="0"/>
              <w:jc w:val="center"/>
              <w:rPr>
                <w:color w:val="auto"/>
                <w:sz w:val="22"/>
              </w:rPr>
            </w:pPr>
            <w:r>
              <w:rPr>
                <w:rFonts w:ascii="Arial" w:hAnsi="Arial"/>
                <w:color w:val="auto"/>
                <w:sz w:val="20"/>
                <w:szCs w:val="20"/>
              </w:rPr>
              <w:t>3.15</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Pusrampė. Pusrampės aukštis 1,30 m. Bendras ilgis 10 m.</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szCs w:val="20"/>
              </w:rPr>
              <w:t>m</w:t>
            </w:r>
            <w:r>
              <w:rPr>
                <w:rFonts w:ascii="Arial" w:hAnsi="Arial"/>
                <w:color w:val="auto"/>
                <w:sz w:val="20"/>
                <w:szCs w:val="20"/>
                <w:vertAlign w:val="superscript"/>
              </w:rPr>
              <w:t>2</w:t>
            </w:r>
          </w:p>
        </w:tc>
        <w:tc>
          <w:tcPr>
            <w:tcW w:w="2551" w:type="dxa"/>
            <w:tcBorders/>
            <w:vAlign w:val="center"/>
          </w:tcPr>
          <w:p>
            <w:pPr>
              <w:pStyle w:val="Normal"/>
              <w:suppressAutoHyphens w:val="true"/>
              <w:spacing w:before="0" w:after="0"/>
              <w:jc w:val="center"/>
              <w:rPr>
                <w:color w:val="auto"/>
                <w:sz w:val="22"/>
              </w:rPr>
            </w:pPr>
            <w:r>
              <w:rPr>
                <w:rFonts w:ascii="Arial" w:hAnsi="Arial"/>
                <w:color w:val="auto"/>
                <w:sz w:val="20"/>
                <w:szCs w:val="20"/>
              </w:rPr>
              <w:t>30.00</w:t>
            </w:r>
          </w:p>
        </w:tc>
      </w:tr>
      <w:tr>
        <w:trPr>
          <w:trHeight w:val="370" w:hRule="atLeast"/>
        </w:trPr>
        <w:tc>
          <w:tcPr>
            <w:tcW w:w="846" w:type="dxa"/>
            <w:tcBorders/>
            <w:vAlign w:val="center"/>
          </w:tcPr>
          <w:p>
            <w:pPr>
              <w:pStyle w:val="Normal"/>
              <w:suppressAutoHyphens w:val="true"/>
              <w:spacing w:before="0" w:after="0"/>
              <w:jc w:val="center"/>
              <w:rPr>
                <w:color w:val="auto"/>
                <w:sz w:val="22"/>
              </w:rPr>
            </w:pPr>
            <w:r>
              <w:rPr>
                <w:rFonts w:ascii="Arial" w:hAnsi="Arial"/>
                <w:color w:val="auto"/>
                <w:sz w:val="20"/>
                <w:szCs w:val="20"/>
              </w:rPr>
              <w:t>3.16</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Banga. Bangos aukštis 40 cm.</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szCs w:val="20"/>
              </w:rPr>
              <w:t>m</w:t>
            </w:r>
            <w:r>
              <w:rPr>
                <w:rFonts w:ascii="Arial" w:hAnsi="Arial"/>
                <w:color w:val="auto"/>
                <w:sz w:val="20"/>
                <w:szCs w:val="20"/>
                <w:vertAlign w:val="superscript"/>
              </w:rPr>
              <w:t>2</w:t>
            </w:r>
          </w:p>
        </w:tc>
        <w:tc>
          <w:tcPr>
            <w:tcW w:w="2551" w:type="dxa"/>
            <w:tcBorders/>
            <w:vAlign w:val="center"/>
          </w:tcPr>
          <w:p>
            <w:pPr>
              <w:pStyle w:val="Normal"/>
              <w:suppressAutoHyphens w:val="true"/>
              <w:spacing w:before="0" w:after="0"/>
              <w:jc w:val="center"/>
              <w:rPr>
                <w:color w:val="auto"/>
                <w:sz w:val="22"/>
              </w:rPr>
            </w:pPr>
            <w:r>
              <w:rPr>
                <w:rFonts w:ascii="Arial" w:hAnsi="Arial"/>
                <w:color w:val="auto"/>
                <w:sz w:val="20"/>
                <w:szCs w:val="20"/>
              </w:rPr>
              <w:t>19.00</w:t>
            </w:r>
          </w:p>
        </w:tc>
      </w:tr>
      <w:tr>
        <w:trPr/>
        <w:tc>
          <w:tcPr>
            <w:tcW w:w="846" w:type="dxa"/>
            <w:tcBorders/>
            <w:vAlign w:val="center"/>
          </w:tcPr>
          <w:p>
            <w:pPr>
              <w:pStyle w:val="Normal"/>
              <w:suppressAutoHyphens w:val="true"/>
              <w:spacing w:before="0" w:after="0"/>
              <w:jc w:val="center"/>
              <w:rPr>
                <w:color w:val="auto"/>
                <w:sz w:val="22"/>
              </w:rPr>
            </w:pPr>
            <w:r>
              <w:rPr>
                <w:rFonts w:ascii="Arial" w:hAnsi="Arial"/>
                <w:color w:val="auto"/>
                <w:sz w:val="20"/>
                <w:szCs w:val="20"/>
              </w:rPr>
              <w:t>3.17</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Banga su „Euro gap“. Bangos aukštis 40 cm.</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szCs w:val="20"/>
              </w:rPr>
              <w:t>m</w:t>
            </w:r>
            <w:r>
              <w:rPr>
                <w:rFonts w:ascii="Arial" w:hAnsi="Arial"/>
                <w:color w:val="auto"/>
                <w:sz w:val="20"/>
                <w:szCs w:val="20"/>
                <w:vertAlign w:val="superscript"/>
              </w:rPr>
              <w:t>2</w:t>
            </w:r>
          </w:p>
        </w:tc>
        <w:tc>
          <w:tcPr>
            <w:tcW w:w="2551" w:type="dxa"/>
            <w:tcBorders/>
            <w:vAlign w:val="center"/>
          </w:tcPr>
          <w:p>
            <w:pPr>
              <w:pStyle w:val="Normal"/>
              <w:suppressAutoHyphens w:val="true"/>
              <w:spacing w:before="0" w:after="0"/>
              <w:jc w:val="center"/>
              <w:rPr>
                <w:color w:val="auto"/>
                <w:sz w:val="22"/>
              </w:rPr>
            </w:pPr>
            <w:r>
              <w:rPr>
                <w:rFonts w:ascii="Arial" w:hAnsi="Arial"/>
                <w:color w:val="auto"/>
                <w:sz w:val="20"/>
                <w:szCs w:val="20"/>
              </w:rPr>
              <w:t>22.80</w:t>
            </w:r>
          </w:p>
        </w:tc>
      </w:tr>
      <w:tr>
        <w:trPr/>
        <w:tc>
          <w:tcPr>
            <w:tcW w:w="846" w:type="dxa"/>
            <w:tcBorders/>
            <w:vAlign w:val="center"/>
          </w:tcPr>
          <w:p>
            <w:pPr>
              <w:pStyle w:val="Normal"/>
              <w:suppressAutoHyphens w:val="true"/>
              <w:spacing w:before="0" w:after="0"/>
              <w:jc w:val="center"/>
              <w:rPr>
                <w:color w:val="auto"/>
                <w:sz w:val="22"/>
              </w:rPr>
            </w:pPr>
            <w:r>
              <w:rPr>
                <w:rFonts w:ascii="Arial" w:hAnsi="Arial"/>
                <w:color w:val="auto"/>
                <w:sz w:val="20"/>
                <w:szCs w:val="20"/>
              </w:rPr>
              <w:t>3.18</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Banga. Bangos aukštis 40 cm.</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szCs w:val="20"/>
              </w:rPr>
              <w:t>m</w:t>
            </w:r>
            <w:r>
              <w:rPr>
                <w:rFonts w:ascii="Arial" w:hAnsi="Arial"/>
                <w:color w:val="auto"/>
                <w:sz w:val="20"/>
                <w:szCs w:val="20"/>
                <w:vertAlign w:val="superscript"/>
              </w:rPr>
              <w:t>2</w:t>
            </w:r>
          </w:p>
        </w:tc>
        <w:tc>
          <w:tcPr>
            <w:tcW w:w="2551" w:type="dxa"/>
            <w:tcBorders/>
            <w:vAlign w:val="center"/>
          </w:tcPr>
          <w:p>
            <w:pPr>
              <w:pStyle w:val="Normal"/>
              <w:suppressAutoHyphens w:val="true"/>
              <w:spacing w:before="0" w:after="0"/>
              <w:jc w:val="center"/>
              <w:rPr>
                <w:color w:val="auto"/>
                <w:sz w:val="22"/>
              </w:rPr>
            </w:pPr>
            <w:r>
              <w:rPr>
                <w:rFonts w:ascii="Arial" w:hAnsi="Arial"/>
                <w:color w:val="auto"/>
                <w:sz w:val="20"/>
                <w:szCs w:val="20"/>
              </w:rPr>
              <w:t>11.00</w:t>
            </w:r>
          </w:p>
        </w:tc>
      </w:tr>
      <w:tr>
        <w:trPr/>
        <w:tc>
          <w:tcPr>
            <w:tcW w:w="846" w:type="dxa"/>
            <w:tcBorders/>
            <w:vAlign w:val="center"/>
          </w:tcPr>
          <w:p>
            <w:pPr>
              <w:pStyle w:val="Normal"/>
              <w:suppressAutoHyphens w:val="true"/>
              <w:spacing w:before="0" w:after="0"/>
              <w:jc w:val="center"/>
              <w:rPr>
                <w:color w:val="auto"/>
                <w:sz w:val="22"/>
              </w:rPr>
            </w:pPr>
            <w:r>
              <w:rPr>
                <w:rFonts w:ascii="Arial" w:hAnsi="Arial"/>
                <w:color w:val="auto"/>
                <w:sz w:val="20"/>
                <w:szCs w:val="20"/>
              </w:rPr>
              <w:t>3.19</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Šuolių rampa. Rampos aukštis 60 cm.</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szCs w:val="20"/>
              </w:rPr>
              <w:t>m</w:t>
            </w:r>
            <w:r>
              <w:rPr>
                <w:rFonts w:ascii="Arial" w:hAnsi="Arial"/>
                <w:color w:val="auto"/>
                <w:sz w:val="20"/>
                <w:szCs w:val="20"/>
                <w:vertAlign w:val="superscript"/>
              </w:rPr>
              <w:t>2</w:t>
            </w:r>
          </w:p>
        </w:tc>
        <w:tc>
          <w:tcPr>
            <w:tcW w:w="2551" w:type="dxa"/>
            <w:tcBorders/>
            <w:vAlign w:val="center"/>
          </w:tcPr>
          <w:p>
            <w:pPr>
              <w:pStyle w:val="Normal"/>
              <w:suppressAutoHyphens w:val="true"/>
              <w:spacing w:before="0" w:after="0"/>
              <w:jc w:val="center"/>
              <w:rPr>
                <w:color w:val="auto"/>
                <w:sz w:val="22"/>
              </w:rPr>
            </w:pPr>
            <w:r>
              <w:rPr>
                <w:rFonts w:ascii="Arial" w:hAnsi="Arial"/>
                <w:color w:val="auto"/>
                <w:sz w:val="20"/>
                <w:szCs w:val="20"/>
              </w:rPr>
              <w:t>46.00</w:t>
            </w:r>
          </w:p>
        </w:tc>
      </w:tr>
    </w:tbl>
    <w:p>
      <w:pPr>
        <w:pStyle w:val="Normal"/>
        <w:numPr>
          <w:ilvl w:val="0"/>
          <w:numId w:val="0"/>
        </w:numPr>
        <w:suppressAutoHyphens w:val="true"/>
        <w:spacing w:before="0" w:after="0"/>
        <w:ind w:hanging="0" w:left="720"/>
        <w:rPr>
          <w:rFonts w:ascii="Arial" w:hAnsi="Arial"/>
          <w:b/>
          <w:bCs/>
          <w:color w:val="auto"/>
          <w:sz w:val="20"/>
          <w:szCs w:val="20"/>
        </w:rPr>
      </w:pPr>
      <w:r>
        <w:rPr>
          <w:rFonts w:ascii="Arial" w:hAnsi="Arial"/>
          <w:b/>
          <w:bCs/>
          <w:color w:val="auto"/>
          <w:sz w:val="20"/>
          <w:szCs w:val="20"/>
        </w:rPr>
      </w:r>
    </w:p>
    <w:p>
      <w:pPr>
        <w:pStyle w:val="Paprtekstas"/>
        <w:widowControl/>
        <w:suppressAutoHyphens w:val="true"/>
        <w:bidi w:val="0"/>
        <w:spacing w:lineRule="auto" w:line="276"/>
        <w:rPr>
          <w:color w:val="auto"/>
        </w:rPr>
      </w:pPr>
      <w:r>
        <w:rPr>
          <w:rFonts w:eastAsia="Times New Roman" w:cs="Times New Roman"/>
          <w:b/>
          <w:bCs/>
          <w:color w:val="auto"/>
          <w:kern w:val="0"/>
          <w:sz w:val="22"/>
          <w:szCs w:val="22"/>
          <w:lang w:val="lt-LT" w:eastAsia="en-US" w:bidi="ar-SA"/>
        </w:rPr>
        <w:t>4.8. Riedučių, riedlenčių, paspirtukų ir BMX dviračių parkas</w:t>
      </w:r>
    </w:p>
    <w:p>
      <w:pPr>
        <w:pStyle w:val="Paprtekstas"/>
        <w:widowControl/>
        <w:suppressAutoHyphens w:val="true"/>
        <w:bidi w:val="0"/>
        <w:spacing w:lineRule="auto" w:line="276"/>
        <w:rPr>
          <w:color w:val="auto"/>
        </w:rPr>
      </w:pPr>
      <w:r>
        <w:rPr>
          <w:rFonts w:eastAsia="Times New Roman" w:cs="Times New Roman"/>
          <w:i/>
          <w:iCs/>
          <w:color w:val="auto"/>
          <w:kern w:val="0"/>
          <w:szCs w:val="24"/>
          <w:u w:val="single"/>
          <w:lang w:val="lt-LT" w:eastAsia="en-US" w:bidi="ar-SA"/>
        </w:rPr>
        <w:t>PAGRINDINIS VAŽIUOJAMASIS PAVIRŠIUS</w:t>
      </w:r>
    </w:p>
    <w:p>
      <w:pPr>
        <w:pStyle w:val="Normal"/>
        <w:numPr>
          <w:ilvl w:val="0"/>
          <w:numId w:val="0"/>
        </w:numPr>
        <w:suppressAutoHyphens w:val="true"/>
        <w:spacing w:before="0" w:after="0"/>
        <w:ind w:hanging="0" w:left="720"/>
        <w:rPr>
          <w:color w:val="auto"/>
        </w:rPr>
      </w:pPr>
      <w:r>
        <w:rPr>
          <w:rFonts w:ascii="Arial" w:hAnsi="Arial"/>
          <w:b w:val="false"/>
          <w:bCs w:val="false"/>
          <w:i/>
          <w:iCs/>
          <w:color w:val="auto"/>
          <w:sz w:val="20"/>
          <w:szCs w:val="20"/>
          <w:u w:val="single"/>
        </w:rPr>
        <w:t>Pagrindinis važiuojamasis paviršius</w:t>
      </w:r>
    </w:p>
    <w:p>
      <w:pPr>
        <w:pStyle w:val="Normal"/>
        <w:numPr>
          <w:ilvl w:val="0"/>
          <w:numId w:val="4"/>
        </w:numPr>
        <w:suppressAutoHyphens w:val="true"/>
        <w:spacing w:before="0" w:after="0"/>
        <w:rPr>
          <w:color w:val="auto"/>
        </w:rPr>
      </w:pPr>
      <w:r>
        <w:rPr>
          <w:rFonts w:ascii="Arial" w:hAnsi="Arial"/>
          <w:color w:val="auto"/>
          <w:sz w:val="20"/>
          <w:szCs w:val="20"/>
        </w:rPr>
        <w:t>Skate plaza parko važiuojama dangos storis ne mažesnis nei 15 cm, naudojamas betonas C30/37  XC2+XF3 kurio vandens pralaidumo markė W8, šalčio atsparumo markė F150. Betoninė danga yra sutvirtinama su vieno sluoksnio 8 mm  diametro tinkleliu kurio akies dydis 150x150 mm. Vertikalios važiuojamosios dangos yra betonuojamos naudojant „shotcrete“ technologiją (purškiamas betonas).</w:t>
      </w:r>
    </w:p>
    <w:p>
      <w:pPr>
        <w:pStyle w:val="Normal"/>
        <w:numPr>
          <w:ilvl w:val="0"/>
          <w:numId w:val="4"/>
        </w:numPr>
        <w:suppressAutoHyphens w:val="true"/>
        <w:spacing w:before="0" w:after="0"/>
        <w:rPr>
          <w:color w:val="auto"/>
        </w:rPr>
      </w:pPr>
      <w:r>
        <w:rPr>
          <w:rFonts w:ascii="Arial" w:hAnsi="Arial"/>
          <w:color w:val="auto"/>
          <w:sz w:val="20"/>
          <w:szCs w:val="20"/>
        </w:rPr>
        <w:t>Dangų paviršius poliruojamas su mechaniniu šlifuotoju.</w:t>
      </w:r>
    </w:p>
    <w:p>
      <w:pPr>
        <w:pStyle w:val="Normal"/>
        <w:numPr>
          <w:ilvl w:val="0"/>
          <w:numId w:val="4"/>
        </w:numPr>
        <w:suppressAutoHyphens w:val="true"/>
        <w:spacing w:before="0" w:after="0"/>
        <w:rPr>
          <w:color w:val="auto"/>
        </w:rPr>
      </w:pPr>
      <w:r>
        <w:rPr>
          <w:rFonts w:ascii="Arial" w:hAnsi="Arial"/>
          <w:color w:val="auto"/>
          <w:sz w:val="20"/>
          <w:szCs w:val="20"/>
        </w:rPr>
        <w:t>Važiuojamoje dangoje turi būti įrengtos temperatūrinės siūlės kurių dydis negali būti didesnis nei 5x5m, gylis 1/3 dangos storio.</w:t>
      </w:r>
    </w:p>
    <w:p>
      <w:pPr>
        <w:pStyle w:val="Normal"/>
        <w:numPr>
          <w:ilvl w:val="0"/>
          <w:numId w:val="4"/>
        </w:numPr>
        <w:suppressAutoHyphens w:val="true"/>
        <w:spacing w:before="0" w:after="0"/>
        <w:rPr>
          <w:color w:val="auto"/>
        </w:rPr>
      </w:pPr>
      <w:r>
        <w:rPr>
          <w:rFonts w:ascii="Arial" w:hAnsi="Arial"/>
          <w:color w:val="auto"/>
          <w:sz w:val="20"/>
          <w:szCs w:val="20"/>
        </w:rPr>
        <w:t>Danga turi turėti nuolydi kurio diapazonas nuo 1,5%  iki 2,0%. Jeigu yra galimybė, nuolydis turi būti tik į vieną pusę.</w:t>
      </w:r>
    </w:p>
    <w:p>
      <w:pPr>
        <w:pStyle w:val="Normal"/>
        <w:numPr>
          <w:ilvl w:val="0"/>
          <w:numId w:val="4"/>
        </w:numPr>
        <w:suppressAutoHyphens w:val="true"/>
        <w:spacing w:before="0" w:after="0"/>
        <w:rPr>
          <w:color w:val="auto"/>
        </w:rPr>
      </w:pPr>
      <w:r>
        <w:rPr>
          <w:rFonts w:ascii="Arial" w:hAnsi="Arial"/>
          <w:color w:val="auto"/>
          <w:sz w:val="20"/>
          <w:szCs w:val="20"/>
        </w:rPr>
        <w:t xml:space="preserve">Važiuojama dalis turi būti lygi ir atspari smūgiams. Riedlentės, riedučiai, paspirtukai, kurių ratukai yra 44-62 mm diametro negali jausti jokių trikdžių ar nelygumų riedant. </w:t>
      </w:r>
    </w:p>
    <w:p>
      <w:pPr>
        <w:pStyle w:val="Normal"/>
        <w:numPr>
          <w:ilvl w:val="0"/>
          <w:numId w:val="0"/>
        </w:numPr>
        <w:suppressAutoHyphens w:val="true"/>
        <w:spacing w:before="0" w:after="0"/>
        <w:ind w:hanging="0" w:left="720"/>
        <w:rPr>
          <w:color w:val="auto"/>
        </w:rPr>
      </w:pPr>
      <w:r>
        <w:rPr>
          <w:rFonts w:ascii="Arial" w:hAnsi="Arial"/>
          <w:i/>
          <w:iCs/>
          <w:color w:val="auto"/>
          <w:sz w:val="20"/>
          <w:szCs w:val="20"/>
          <w:u w:val="single"/>
        </w:rPr>
        <w:t>Pagrindai</w:t>
      </w:r>
    </w:p>
    <w:p>
      <w:pPr>
        <w:pStyle w:val="Normal"/>
        <w:suppressAutoHyphens w:val="true"/>
        <w:spacing w:before="0" w:after="0"/>
        <w:rPr>
          <w:color w:val="auto"/>
        </w:rPr>
      </w:pPr>
      <w:r>
        <w:rPr>
          <w:rFonts w:ascii="Arial" w:hAnsi="Arial"/>
          <w:color w:val="auto"/>
          <w:sz w:val="20"/>
          <w:szCs w:val="20"/>
        </w:rPr>
        <w:t>Betoninis skate parko pagrindas įrengiamas ant žemės pagrindų.</w:t>
      </w:r>
    </w:p>
    <w:p>
      <w:pPr>
        <w:pStyle w:val="Normal"/>
        <w:numPr>
          <w:ilvl w:val="0"/>
          <w:numId w:val="5"/>
        </w:numPr>
        <w:suppressAutoHyphens w:val="true"/>
        <w:spacing w:before="0" w:after="0"/>
        <w:rPr>
          <w:color w:val="auto"/>
        </w:rPr>
      </w:pPr>
      <w:r>
        <w:rPr>
          <w:rFonts w:ascii="Arial" w:hAnsi="Arial"/>
          <w:color w:val="auto"/>
          <w:sz w:val="20"/>
          <w:szCs w:val="20"/>
        </w:rPr>
        <w:t>38 cm šalčiui atsparus smėlio - žvyro sluoksnis fr. 0 – 32mm.</w:t>
      </w:r>
    </w:p>
    <w:p>
      <w:pPr>
        <w:pStyle w:val="Normal"/>
        <w:numPr>
          <w:ilvl w:val="0"/>
          <w:numId w:val="5"/>
        </w:numPr>
        <w:suppressAutoHyphens w:val="true"/>
        <w:spacing w:before="0" w:after="0"/>
        <w:rPr>
          <w:color w:val="auto"/>
        </w:rPr>
      </w:pPr>
      <w:r>
        <w:rPr>
          <w:rFonts w:ascii="Arial" w:hAnsi="Arial"/>
          <w:color w:val="auto"/>
          <w:sz w:val="20"/>
          <w:szCs w:val="20"/>
        </w:rPr>
        <w:t>15 cm žvyro skaldos fr 0 – 45mm arba dolomitinės skaldos sluoksnis fr. 0 – 32mm.</w:t>
      </w:r>
    </w:p>
    <w:p>
      <w:pPr>
        <w:pStyle w:val="Normal"/>
        <w:numPr>
          <w:ilvl w:val="0"/>
          <w:numId w:val="5"/>
        </w:numPr>
        <w:suppressAutoHyphens w:val="true"/>
        <w:spacing w:before="0" w:after="0"/>
        <w:rPr>
          <w:color w:val="auto"/>
        </w:rPr>
      </w:pPr>
      <w:r>
        <w:rPr>
          <w:rFonts w:ascii="Arial" w:hAnsi="Arial"/>
          <w:color w:val="auto"/>
          <w:sz w:val="20"/>
          <w:szCs w:val="20"/>
        </w:rPr>
        <w:t xml:space="preserve">15 cm C30/C37 markės betono sluoksnis važiuojamajam paviršiui. Vertikalios važiuojamosios dangos yra betonuojamos naudojant shotcrete technologiją (purškiamas betonas). </w:t>
      </w:r>
    </w:p>
    <w:p>
      <w:pPr>
        <w:pStyle w:val="Normal"/>
        <w:numPr>
          <w:ilvl w:val="0"/>
          <w:numId w:val="0"/>
        </w:numPr>
        <w:suppressAutoHyphens w:val="true"/>
        <w:spacing w:before="0" w:after="0"/>
        <w:ind w:hanging="0" w:left="720"/>
        <w:rPr>
          <w:color w:val="auto"/>
        </w:rPr>
      </w:pPr>
      <w:r>
        <w:rPr>
          <w:rFonts w:ascii="Arial" w:hAnsi="Arial"/>
          <w:i/>
          <w:iCs/>
          <w:color w:val="auto"/>
          <w:sz w:val="20"/>
          <w:szCs w:val="20"/>
          <w:u w:val="single"/>
        </w:rPr>
        <w:t>Metalinės dalys.</w:t>
      </w:r>
    </w:p>
    <w:p>
      <w:pPr>
        <w:pStyle w:val="Normal"/>
        <w:suppressAutoHyphens w:val="true"/>
        <w:spacing w:before="0" w:after="0"/>
        <w:rPr>
          <w:color w:val="auto"/>
        </w:rPr>
      </w:pPr>
      <w:r>
        <w:rPr>
          <w:rFonts w:ascii="Arial" w:hAnsi="Arial"/>
          <w:color w:val="auto"/>
          <w:sz w:val="20"/>
          <w:szCs w:val="20"/>
        </w:rPr>
        <w:t>Čiuožimo turėklai iš apvalaus profilio plieninio vamzdžio kurio diametras 50 mm - 60 mm, sienelės stori apie 4mm. Metaliniai čiuožimo kampai iš plieno, sienelės storis 4mm.Visi čiuožimo bortai gaminami iš 4mm storio plieno lakšto ir užpildomi armuotu betonu.</w:t>
      </w:r>
    </w:p>
    <w:p>
      <w:pPr>
        <w:pStyle w:val="Normal"/>
        <w:suppressAutoHyphens w:val="true"/>
        <w:spacing w:before="0" w:after="0"/>
        <w:rPr>
          <w:rFonts w:ascii="Arial" w:hAnsi="Arial"/>
          <w:color w:val="auto"/>
          <w:sz w:val="20"/>
          <w:szCs w:val="20"/>
        </w:rPr>
      </w:pPr>
      <w:r>
        <w:rPr>
          <w:rFonts w:ascii="Arial" w:hAnsi="Arial"/>
          <w:color w:val="auto"/>
          <w:sz w:val="20"/>
          <w:szCs w:val="20"/>
        </w:rPr>
      </w:r>
    </w:p>
    <w:p>
      <w:pPr>
        <w:pStyle w:val="Paprtekstas"/>
        <w:widowControl/>
        <w:suppressAutoHyphens w:val="true"/>
        <w:bidi w:val="0"/>
        <w:spacing w:lineRule="auto" w:line="276"/>
        <w:rPr>
          <w:color w:val="auto"/>
        </w:rPr>
      </w:pPr>
      <w:r>
        <w:rPr>
          <w:rFonts w:eastAsia="Times New Roman" w:cs="Times New Roman"/>
          <w:i/>
          <w:iCs/>
          <w:color w:val="auto"/>
          <w:kern w:val="0"/>
          <w:szCs w:val="24"/>
          <w:u w:val="single"/>
          <w:lang w:val="lt-LT" w:eastAsia="en-US" w:bidi="ar-SA"/>
        </w:rPr>
        <w:t>SAUGUMAS</w:t>
      </w:r>
    </w:p>
    <w:p>
      <w:pPr>
        <w:pStyle w:val="Normal"/>
        <w:numPr>
          <w:ilvl w:val="0"/>
          <w:numId w:val="6"/>
        </w:numPr>
        <w:suppressAutoHyphens w:val="true"/>
        <w:spacing w:before="0" w:after="0"/>
        <w:rPr>
          <w:color w:val="auto"/>
        </w:rPr>
      </w:pPr>
      <w:r>
        <w:rPr>
          <w:rFonts w:ascii="Arial" w:hAnsi="Arial"/>
          <w:color w:val="auto"/>
          <w:sz w:val="20"/>
          <w:szCs w:val="20"/>
        </w:rPr>
        <w:t>Skateparko naudojimosi instrukcija turi būti pakabinta gerai matomoje vietoje prie įėjimo.</w:t>
      </w:r>
    </w:p>
    <w:p>
      <w:pPr>
        <w:pStyle w:val="Normal"/>
        <w:numPr>
          <w:ilvl w:val="0"/>
          <w:numId w:val="6"/>
        </w:numPr>
        <w:suppressAutoHyphens w:val="true"/>
        <w:spacing w:before="0" w:after="0"/>
        <w:rPr>
          <w:color w:val="auto"/>
        </w:rPr>
      </w:pPr>
      <w:r>
        <w:rPr>
          <w:rFonts w:ascii="Arial" w:hAnsi="Arial"/>
          <w:color w:val="auto"/>
          <w:sz w:val="20"/>
          <w:szCs w:val="20"/>
        </w:rPr>
        <w:t>Atstumai tarp elementų turi turėti saugų atstumą, kad išvengti susidūrimų ir kritimų.</w:t>
      </w:r>
    </w:p>
    <w:p>
      <w:pPr>
        <w:pStyle w:val="Normal"/>
        <w:numPr>
          <w:ilvl w:val="0"/>
          <w:numId w:val="6"/>
        </w:numPr>
        <w:suppressAutoHyphens w:val="true"/>
        <w:spacing w:before="0" w:after="0"/>
        <w:rPr>
          <w:color w:val="auto"/>
        </w:rPr>
      </w:pPr>
      <w:r>
        <w:rPr>
          <w:rFonts w:ascii="Arial" w:hAnsi="Arial"/>
          <w:color w:val="auto"/>
          <w:sz w:val="20"/>
          <w:szCs w:val="20"/>
        </w:rPr>
        <w:t xml:space="preserve">Visos naudojamos medžiagos turi turėti sertifikatus, techninius liudijimus arba atitikties deklaracijas ir pan. </w:t>
      </w:r>
    </w:p>
    <w:p>
      <w:pPr>
        <w:pStyle w:val="Normal"/>
        <w:numPr>
          <w:ilvl w:val="0"/>
          <w:numId w:val="6"/>
        </w:numPr>
        <w:suppressAutoHyphens w:val="true"/>
        <w:spacing w:before="0" w:after="0"/>
        <w:rPr>
          <w:color w:val="auto"/>
        </w:rPr>
      </w:pPr>
      <w:r>
        <w:rPr>
          <w:rFonts w:ascii="Arial" w:hAnsi="Arial"/>
          <w:color w:val="auto"/>
          <w:sz w:val="20"/>
          <w:szCs w:val="20"/>
        </w:rPr>
        <w:t>Visi sporto, pramogų, laisvalaikio ar savivaldybės pastatyti įrenginiai aikštelėje privalo atitikti visus reikalavimus saugos reikalavimų principus pagal bandymo metodus EN 14974 principus.</w:t>
      </w:r>
    </w:p>
    <w:p>
      <w:pPr>
        <w:pStyle w:val="Normal"/>
        <w:suppressAutoHyphens w:val="true"/>
        <w:spacing w:before="0" w:after="0"/>
        <w:rPr>
          <w:rFonts w:ascii="Arial" w:hAnsi="Arial"/>
          <w:color w:val="auto"/>
          <w:sz w:val="20"/>
          <w:szCs w:val="20"/>
        </w:rPr>
      </w:pPr>
      <w:r>
        <w:rPr>
          <w:rFonts w:ascii="Arial" w:hAnsi="Arial"/>
          <w:color w:val="auto"/>
          <w:sz w:val="20"/>
          <w:szCs w:val="20"/>
        </w:rPr>
      </w:r>
    </w:p>
    <w:p>
      <w:pPr>
        <w:pStyle w:val="Paprtekstas"/>
        <w:widowControl/>
        <w:suppressAutoHyphens w:val="true"/>
        <w:bidi w:val="0"/>
        <w:spacing w:lineRule="auto" w:line="276"/>
        <w:rPr>
          <w:color w:val="auto"/>
        </w:rPr>
      </w:pPr>
      <w:r>
        <w:rPr>
          <w:rFonts w:eastAsia="Times New Roman" w:cs="Times New Roman"/>
          <w:i/>
          <w:iCs/>
          <w:color w:val="auto"/>
          <w:kern w:val="0"/>
          <w:szCs w:val="24"/>
          <w:u w:val="single"/>
          <w:lang w:val="lt-LT" w:eastAsia="en-US" w:bidi="ar-SA"/>
        </w:rPr>
        <w:t>ĮRENGINIŲ IŠDĖSTYMAS</w:t>
      </w:r>
    </w:p>
    <w:p>
      <w:pPr>
        <w:pStyle w:val="Normal"/>
        <w:suppressAutoHyphens w:val="true"/>
        <w:spacing w:before="0" w:after="0"/>
        <w:rPr>
          <w:rFonts w:ascii="Arial" w:hAnsi="Arial"/>
          <w:color w:val="auto"/>
          <w:sz w:val="20"/>
          <w:szCs w:val="20"/>
        </w:rPr>
      </w:pPr>
      <w:r>
        <w:rPr>
          <w:rFonts w:ascii="Arial" w:hAnsi="Arial"/>
          <w:color w:val="auto"/>
          <w:sz w:val="20"/>
          <w:szCs w:val="20"/>
        </w:rPr>
      </w:r>
      <w:r>
        <w:br w:type="page"/>
      </w:r>
    </w:p>
    <w:p>
      <w:pPr>
        <w:pStyle w:val="Normal"/>
        <w:spacing w:before="0" w:after="200"/>
        <w:rPr>
          <w:color w:val="auto"/>
        </w:rPr>
      </w:pPr>
      <w:r>
        <w:rPr/>
        <mc:AlternateContent>
          <mc:Choice Requires="wps">
            <w:drawing>
              <wp:inline distT="0" distB="0" distL="0" distR="0">
                <wp:extent cx="6473825" cy="4260850"/>
                <wp:effectExtent l="0" t="0" r="0" b="0"/>
                <wp:docPr id="97" name="Frame3"/>
                <a:graphic xmlns:a="http://schemas.openxmlformats.org/drawingml/2006/main">
                  <a:graphicData uri="http://schemas.microsoft.com/office/word/2010/wordprocessingShape">
                    <wps:wsp>
                      <wps:cNvSpPr/>
                      <wps:spPr>
                        <a:xfrm>
                          <a:off x="0" y="0"/>
                          <a:ext cx="6473880" cy="4260960"/>
                        </a:xfrm>
                        <a:prstGeom prst="rect">
                          <a:avLst/>
                        </a:prstGeom>
                        <a:solidFill>
                          <a:srgbClr val="ffffff"/>
                        </a:solidFill>
                        <a:ln w="0">
                          <a:noFill/>
                        </a:ln>
                      </wps:spPr>
                      <wps:style>
                        <a:lnRef idx="0"/>
                        <a:fillRef idx="0"/>
                        <a:effectRef idx="0"/>
                        <a:fontRef idx="minor"/>
                      </wps:style>
                      <wps:txbx>
                        <w:txbxContent>
                          <w:p>
                            <w:pPr>
                              <w:pStyle w:val="Caption"/>
                              <w:spacing w:lineRule="auto" w:line="240" w:before="0" w:after="120"/>
                              <w:ind w:hanging="0"/>
                              <w:rPr/>
                            </w:pPr>
                            <w:r>
                              <w:rPr>
                                <w:color w:val="000000"/>
                              </w:rPr>
                              <w:drawing>
                                <wp:inline distT="0" distB="0" distL="0" distR="0">
                                  <wp:extent cx="6473825" cy="4114800"/>
                                  <wp:effectExtent l="0" t="0" r="0" b="0"/>
                                  <wp:docPr id="98" name="Image2 Copy 3" descr="A plan of a p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2 Copy 3" descr="A plan of a park&#10;&#10;Description automatically generated"/>
                                          <pic:cNvPicPr>
                                            <a:picLocks noChangeAspect="1" noChangeArrowheads="1"/>
                                          </pic:cNvPicPr>
                                        </pic:nvPicPr>
                                        <pic:blipFill>
                                          <a:blip r:embed="rId97"/>
                                          <a:srcRect l="5073" t="17544" r="22836" b="17544"/>
                                          <a:stretch>
                                            <a:fillRect/>
                                          </a:stretch>
                                        </pic:blipFill>
                                        <pic:spPr bwMode="auto">
                                          <a:xfrm>
                                            <a:off x="0" y="0"/>
                                            <a:ext cx="6473825" cy="4114800"/>
                                          </a:xfrm>
                                          <a:prstGeom prst="rect">
                                            <a:avLst/>
                                          </a:prstGeom>
                                          <a:noFill/>
                                        </pic:spPr>
                                      </pic:pic>
                                    </a:graphicData>
                                  </a:graphic>
                                </wp:inline>
                              </w:drawing>
                            </w:r>
                            <w:r>
                              <w:rPr>
                                <w:color w:val="000000"/>
                              </w:rPr>
                              <w:t>Įrengimų išdėstymo planas</w:t>
                            </w:r>
                          </w:p>
                        </w:txbxContent>
                      </wps:txbx>
                      <wps:bodyPr lIns="0" rIns="0" tIns="0" bIns="0" anchor="t">
                        <a:noAutofit/>
                      </wps:bodyPr>
                    </wps:wsp>
                  </a:graphicData>
                </a:graphic>
              </wp:inline>
            </w:drawing>
          </mc:Choice>
          <mc:Fallback>
            <w:pict>
              <v:rect id="shape_0" ID="Frame3" path="m0,0l-2147483645,0l-2147483645,-2147483646l0,-2147483646xe" fillcolor="white" stroked="f" o:allowincell="f" style="position:absolute;margin-left:0pt;margin-top:-335.55pt;width:509.7pt;height:335.45pt;mso-wrap-style:square;v-text-anchor:top;mso-position-vertical:top">
                <v:fill o:detectmouseclick="t" type="solid" color2="black"/>
                <v:stroke color="#3465a4" joinstyle="round" endcap="flat"/>
                <v:textbox>
                  <w:txbxContent>
                    <w:p>
                      <w:pPr>
                        <w:pStyle w:val="Caption"/>
                        <w:spacing w:lineRule="auto" w:line="240" w:before="0" w:after="120"/>
                        <w:ind w:hanging="0"/>
                        <w:rPr/>
                      </w:pPr>
                      <w:r>
                        <w:rPr>
                          <w:color w:val="000000"/>
                        </w:rPr>
                        <w:drawing>
                          <wp:inline distT="0" distB="0" distL="0" distR="0">
                            <wp:extent cx="6473825" cy="4114800"/>
                            <wp:effectExtent l="0" t="0" r="0" b="0"/>
                            <wp:docPr id="99" name="Image2 Copy 3" descr="A plan of a p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Image2 Copy 3" descr="A plan of a park&#10;&#10;Description automatically generated"/>
                                    <pic:cNvPicPr>
                                      <a:picLocks noChangeAspect="1" noChangeArrowheads="1"/>
                                    </pic:cNvPicPr>
                                  </pic:nvPicPr>
                                  <pic:blipFill>
                                    <a:blip r:embed="rId98"/>
                                    <a:srcRect l="5073" t="17544" r="22836" b="17544"/>
                                    <a:stretch>
                                      <a:fillRect/>
                                    </a:stretch>
                                  </pic:blipFill>
                                  <pic:spPr bwMode="auto">
                                    <a:xfrm>
                                      <a:off x="0" y="0"/>
                                      <a:ext cx="6473825" cy="4114800"/>
                                    </a:xfrm>
                                    <a:prstGeom prst="rect">
                                      <a:avLst/>
                                    </a:prstGeom>
                                    <a:noFill/>
                                  </pic:spPr>
                                </pic:pic>
                              </a:graphicData>
                            </a:graphic>
                          </wp:inline>
                        </w:drawing>
                      </w:r>
                      <w:r>
                        <w:rPr>
                          <w:color w:val="000000"/>
                        </w:rPr>
                        <w:t>Įrengimų išdėstymo planas</w:t>
                      </w:r>
                    </w:p>
                  </w:txbxContent>
                </v:textbox>
                <w10:wrap type="square"/>
              </v:rect>
            </w:pict>
          </mc:Fallback>
        </mc:AlternateContent>
      </w:r>
      <w:r>
        <w:br w:type="page"/>
      </w:r>
    </w:p>
    <w:tbl>
      <w:tblPr>
        <w:tblStyle w:val="TableGrid"/>
        <w:tblW w:w="10343" w:type="dxa"/>
        <w:jc w:val="left"/>
        <w:tblInd w:w="113" w:type="dxa"/>
        <w:tblLayout w:type="fixed"/>
        <w:tblCellMar>
          <w:top w:w="0" w:type="dxa"/>
          <w:left w:w="108" w:type="dxa"/>
          <w:bottom w:w="0" w:type="dxa"/>
          <w:right w:w="108" w:type="dxa"/>
        </w:tblCellMar>
        <w:tblLook w:firstRow="1" w:noVBand="1" w:lastRow="0" w:firstColumn="1" w:lastColumn="0" w:noHBand="0" w:val="04a0"/>
      </w:tblPr>
      <w:tblGrid>
        <w:gridCol w:w="846"/>
        <w:gridCol w:w="5671"/>
        <w:gridCol w:w="1275"/>
        <w:gridCol w:w="2551"/>
      </w:tblGrid>
      <w:tr>
        <w:trPr/>
        <w:tc>
          <w:tcPr>
            <w:tcW w:w="846" w:type="dxa"/>
            <w:tcBorders/>
            <w:vAlign w:val="center"/>
          </w:tcPr>
          <w:p>
            <w:pPr>
              <w:pStyle w:val="Normal"/>
              <w:pageBreakBefore/>
              <w:suppressAutoHyphens w:val="true"/>
              <w:spacing w:before="0" w:after="0"/>
              <w:jc w:val="left"/>
              <w:rPr>
                <w:color w:val="auto"/>
                <w:sz w:val="22"/>
              </w:rPr>
            </w:pPr>
            <w:r>
              <w:rPr>
                <w:rFonts w:ascii="Arial" w:hAnsi="Arial"/>
                <w:color w:val="auto"/>
                <w:sz w:val="20"/>
                <w:szCs w:val="20"/>
              </w:rPr>
              <w:t>Nr.</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Pavadinimas ir aprašymas</w:t>
            </w:r>
          </w:p>
        </w:tc>
        <w:tc>
          <w:tcPr>
            <w:tcW w:w="1275" w:type="dxa"/>
            <w:tcBorders/>
            <w:vAlign w:val="center"/>
          </w:tcPr>
          <w:p>
            <w:pPr>
              <w:pStyle w:val="Normal"/>
              <w:suppressAutoHyphens w:val="true"/>
              <w:spacing w:before="0" w:after="0"/>
              <w:jc w:val="left"/>
              <w:rPr>
                <w:color w:val="auto"/>
                <w:sz w:val="22"/>
              </w:rPr>
            </w:pPr>
            <w:r>
              <w:rPr>
                <w:rFonts w:ascii="Arial" w:hAnsi="Arial"/>
                <w:color w:val="auto"/>
                <w:sz w:val="20"/>
                <w:szCs w:val="20"/>
              </w:rPr>
              <w:t>Mato vnt.</w:t>
            </w:r>
          </w:p>
        </w:tc>
        <w:tc>
          <w:tcPr>
            <w:tcW w:w="2551" w:type="dxa"/>
            <w:tcBorders/>
            <w:vAlign w:val="center"/>
          </w:tcPr>
          <w:p>
            <w:pPr>
              <w:pStyle w:val="Normal"/>
              <w:suppressAutoHyphens w:val="true"/>
              <w:spacing w:before="0" w:after="0"/>
              <w:jc w:val="left"/>
              <w:rPr>
                <w:color w:val="auto"/>
                <w:sz w:val="22"/>
              </w:rPr>
            </w:pPr>
            <w:r>
              <w:rPr>
                <w:rFonts w:ascii="Arial" w:hAnsi="Arial"/>
                <w:color w:val="auto"/>
                <w:sz w:val="20"/>
                <w:szCs w:val="20"/>
              </w:rPr>
              <w:t>Kiekis.</w:t>
            </w:r>
          </w:p>
        </w:tc>
      </w:tr>
      <w:tr>
        <w:trPr/>
        <w:tc>
          <w:tcPr>
            <w:tcW w:w="10343" w:type="dxa"/>
            <w:gridSpan w:val="4"/>
            <w:tcBorders/>
            <w:vAlign w:val="center"/>
          </w:tcPr>
          <w:p>
            <w:pPr>
              <w:pStyle w:val="Normal"/>
              <w:suppressAutoHyphens w:val="true"/>
              <w:spacing w:before="0" w:after="0"/>
              <w:jc w:val="left"/>
              <w:rPr>
                <w:color w:val="auto"/>
                <w:sz w:val="22"/>
              </w:rPr>
            </w:pPr>
            <w:r>
              <w:rPr>
                <w:rFonts w:ascii="Arial" w:hAnsi="Arial"/>
                <w:color w:val="auto"/>
                <w:sz w:val="20"/>
                <w:szCs w:val="20"/>
              </w:rPr>
              <w:t>Pastaba: Elementų važiuojamieji paviršiai skaičiuojami vertikalūs ir horizontalūs</w:t>
            </w:r>
          </w:p>
        </w:tc>
      </w:tr>
      <w:tr>
        <w:trPr/>
        <w:tc>
          <w:tcPr>
            <w:tcW w:w="846" w:type="dxa"/>
            <w:tcBorders/>
            <w:vAlign w:val="center"/>
          </w:tcPr>
          <w:p>
            <w:pPr>
              <w:pStyle w:val="Normal"/>
              <w:suppressAutoHyphens w:val="true"/>
              <w:spacing w:before="0" w:after="0"/>
              <w:jc w:val="left"/>
              <w:rPr>
                <w:color w:val="auto"/>
                <w:sz w:val="22"/>
              </w:rPr>
            </w:pPr>
            <w:r>
              <w:rPr>
                <w:rFonts w:ascii="Arial" w:hAnsi="Arial"/>
                <w:color w:val="auto"/>
                <w:sz w:val="20"/>
                <w:szCs w:val="20"/>
              </w:rPr>
              <w:t>1.</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Pusrampė su vidiniu ir išoriniu išlenkimu. Rampos aukštis 1250 mm.</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rPr>
              <w:t>m</w:t>
            </w:r>
            <w:r>
              <w:rPr>
                <w:rFonts w:ascii="Arial" w:hAnsi="Arial"/>
                <w:color w:val="auto"/>
                <w:sz w:val="20"/>
                <w:vertAlign w:val="superscript"/>
              </w:rPr>
              <w:t>2</w:t>
            </w:r>
          </w:p>
        </w:tc>
        <w:tc>
          <w:tcPr>
            <w:tcW w:w="2551" w:type="dxa"/>
            <w:tcBorders/>
            <w:vAlign w:val="center"/>
          </w:tcPr>
          <w:p>
            <w:pPr>
              <w:pStyle w:val="Normal"/>
              <w:suppressAutoHyphens w:val="true"/>
              <w:spacing w:before="0" w:after="0"/>
              <w:jc w:val="left"/>
              <w:rPr>
                <w:color w:val="auto"/>
                <w:sz w:val="22"/>
              </w:rPr>
            </w:pPr>
            <w:r>
              <w:rPr>
                <w:rFonts w:ascii="Arial" w:hAnsi="Arial"/>
                <w:color w:val="auto"/>
                <w:sz w:val="20"/>
                <w:szCs w:val="20"/>
              </w:rPr>
              <w:t>49,00</w:t>
            </w:r>
          </w:p>
        </w:tc>
      </w:tr>
      <w:tr>
        <w:trPr>
          <w:trHeight w:val="881" w:hRule="atLeast"/>
        </w:trPr>
        <w:tc>
          <w:tcPr>
            <w:tcW w:w="846" w:type="dxa"/>
            <w:tcBorders/>
            <w:vAlign w:val="center"/>
          </w:tcPr>
          <w:p>
            <w:pPr>
              <w:pStyle w:val="Normal"/>
              <w:suppressAutoHyphens w:val="true"/>
              <w:spacing w:before="0" w:after="0"/>
              <w:jc w:val="left"/>
              <w:rPr>
                <w:color w:val="auto"/>
                <w:sz w:val="22"/>
              </w:rPr>
            </w:pPr>
            <w:r>
              <w:rPr>
                <w:rFonts w:ascii="Arial" w:hAnsi="Arial"/>
                <w:color w:val="auto"/>
                <w:sz w:val="20"/>
                <w:szCs w:val="20"/>
              </w:rPr>
              <w:t>2.</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Daugiafunkcinė rampa. 30 cm aukščio platforma su dviem žemėjančiais bortais, dviem tiesiais čiuožimo bortais ir čiuožimo turėklu.</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rPr>
              <w:t>m</w:t>
            </w:r>
            <w:r>
              <w:rPr>
                <w:rFonts w:ascii="Arial" w:hAnsi="Arial"/>
                <w:color w:val="auto"/>
                <w:sz w:val="20"/>
                <w:vertAlign w:val="superscript"/>
              </w:rPr>
              <w:t>2</w:t>
            </w:r>
          </w:p>
        </w:tc>
        <w:tc>
          <w:tcPr>
            <w:tcW w:w="2551" w:type="dxa"/>
            <w:tcBorders/>
            <w:vAlign w:val="center"/>
          </w:tcPr>
          <w:p>
            <w:pPr>
              <w:pStyle w:val="Normal"/>
              <w:suppressAutoHyphens w:val="true"/>
              <w:spacing w:before="0" w:after="0"/>
              <w:jc w:val="left"/>
              <w:rPr>
                <w:color w:val="auto"/>
                <w:sz w:val="22"/>
              </w:rPr>
            </w:pPr>
            <w:r>
              <w:rPr>
                <w:rFonts w:ascii="Arial" w:hAnsi="Arial"/>
                <w:color w:val="auto"/>
                <w:sz w:val="20"/>
                <w:szCs w:val="20"/>
              </w:rPr>
              <w:t>80,00</w:t>
            </w:r>
          </w:p>
        </w:tc>
      </w:tr>
      <w:tr>
        <w:trPr/>
        <w:tc>
          <w:tcPr>
            <w:tcW w:w="846" w:type="dxa"/>
            <w:tcBorders/>
            <w:vAlign w:val="center"/>
          </w:tcPr>
          <w:p>
            <w:pPr>
              <w:pStyle w:val="Normal"/>
              <w:suppressAutoHyphens w:val="true"/>
              <w:spacing w:before="0" w:after="0"/>
              <w:jc w:val="left"/>
              <w:rPr>
                <w:color w:val="auto"/>
                <w:sz w:val="22"/>
              </w:rPr>
            </w:pPr>
            <w:r>
              <w:rPr>
                <w:rFonts w:ascii="Arial" w:hAnsi="Arial"/>
                <w:color w:val="auto"/>
                <w:sz w:val="20"/>
                <w:szCs w:val="20"/>
              </w:rPr>
              <w:t>3.</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w:t>
            </w:r>
            <w:r>
              <w:rPr>
                <w:rFonts w:ascii="Arial" w:hAnsi="Arial"/>
                <w:color w:val="auto"/>
                <w:sz w:val="20"/>
                <w:szCs w:val="20"/>
              </w:rPr>
              <w:t>China bank“ pusrampė. Pusrampės aukštis 100 cm.</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rPr>
              <w:t>m</w:t>
            </w:r>
            <w:r>
              <w:rPr>
                <w:rFonts w:ascii="Arial" w:hAnsi="Arial"/>
                <w:color w:val="auto"/>
                <w:sz w:val="20"/>
                <w:vertAlign w:val="superscript"/>
              </w:rPr>
              <w:t>2</w:t>
            </w:r>
          </w:p>
        </w:tc>
        <w:tc>
          <w:tcPr>
            <w:tcW w:w="2551" w:type="dxa"/>
            <w:tcBorders/>
            <w:vAlign w:val="center"/>
          </w:tcPr>
          <w:p>
            <w:pPr>
              <w:pStyle w:val="Normal"/>
              <w:suppressAutoHyphens w:val="true"/>
              <w:spacing w:before="0" w:after="0"/>
              <w:jc w:val="left"/>
              <w:rPr>
                <w:color w:val="auto"/>
                <w:sz w:val="22"/>
              </w:rPr>
            </w:pPr>
            <w:r>
              <w:rPr>
                <w:rFonts w:ascii="Arial" w:hAnsi="Arial"/>
                <w:color w:val="auto"/>
                <w:sz w:val="20"/>
                <w:szCs w:val="20"/>
              </w:rPr>
              <w:t>24,00</w:t>
            </w:r>
          </w:p>
        </w:tc>
      </w:tr>
      <w:tr>
        <w:trPr/>
        <w:tc>
          <w:tcPr>
            <w:tcW w:w="846" w:type="dxa"/>
            <w:tcBorders/>
            <w:vAlign w:val="center"/>
          </w:tcPr>
          <w:p>
            <w:pPr>
              <w:pStyle w:val="Normal"/>
              <w:suppressAutoHyphens w:val="true"/>
              <w:spacing w:before="0" w:after="0"/>
              <w:jc w:val="left"/>
              <w:rPr>
                <w:color w:val="auto"/>
                <w:sz w:val="22"/>
              </w:rPr>
            </w:pPr>
            <w:r>
              <w:rPr>
                <w:rFonts w:ascii="Arial" w:hAnsi="Arial"/>
                <w:color w:val="auto"/>
                <w:sz w:val="20"/>
                <w:szCs w:val="20"/>
              </w:rPr>
              <w:t>4.</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Daugiafunkcinė gatvės stiliaus rampa. Rampa susidaro iš 25 cm aukščio balansinio pado, šuolių rampos ir dviejų žemėjančių čiuožimo bortų.</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rPr>
              <w:t>m</w:t>
            </w:r>
            <w:r>
              <w:rPr>
                <w:rFonts w:ascii="Arial" w:hAnsi="Arial"/>
                <w:color w:val="auto"/>
                <w:sz w:val="20"/>
                <w:vertAlign w:val="superscript"/>
              </w:rPr>
              <w:t>2</w:t>
            </w:r>
          </w:p>
        </w:tc>
        <w:tc>
          <w:tcPr>
            <w:tcW w:w="2551" w:type="dxa"/>
            <w:tcBorders/>
            <w:vAlign w:val="center"/>
          </w:tcPr>
          <w:p>
            <w:pPr>
              <w:pStyle w:val="Normal"/>
              <w:suppressAutoHyphens w:val="true"/>
              <w:spacing w:before="0" w:after="0"/>
              <w:jc w:val="left"/>
              <w:rPr>
                <w:color w:val="auto"/>
                <w:sz w:val="22"/>
              </w:rPr>
            </w:pPr>
            <w:r>
              <w:rPr>
                <w:rFonts w:ascii="Arial" w:hAnsi="Arial"/>
                <w:color w:val="auto"/>
                <w:sz w:val="20"/>
                <w:szCs w:val="20"/>
              </w:rPr>
              <w:t>18,00</w:t>
            </w:r>
          </w:p>
        </w:tc>
      </w:tr>
      <w:tr>
        <w:trPr/>
        <w:tc>
          <w:tcPr>
            <w:tcW w:w="846" w:type="dxa"/>
            <w:tcBorders/>
            <w:vAlign w:val="center"/>
          </w:tcPr>
          <w:p>
            <w:pPr>
              <w:pStyle w:val="Normal"/>
              <w:suppressAutoHyphens w:val="true"/>
              <w:spacing w:before="0" w:after="0"/>
              <w:jc w:val="left"/>
              <w:rPr>
                <w:color w:val="auto"/>
                <w:sz w:val="22"/>
              </w:rPr>
            </w:pPr>
            <w:r>
              <w:rPr>
                <w:rFonts w:ascii="Arial" w:hAnsi="Arial"/>
                <w:color w:val="auto"/>
                <w:sz w:val="20"/>
                <w:szCs w:val="20"/>
              </w:rPr>
              <w:t>5.</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Čiuožimo bortas. Borto ilgis 3,5 m, aukštis 30 cm.</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szCs w:val="20"/>
              </w:rPr>
              <w:t>Vnt.</w:t>
            </w:r>
          </w:p>
        </w:tc>
        <w:tc>
          <w:tcPr>
            <w:tcW w:w="2551" w:type="dxa"/>
            <w:tcBorders/>
            <w:vAlign w:val="center"/>
          </w:tcPr>
          <w:p>
            <w:pPr>
              <w:pStyle w:val="Normal"/>
              <w:suppressAutoHyphens w:val="true"/>
              <w:spacing w:before="0" w:after="0"/>
              <w:jc w:val="left"/>
              <w:rPr>
                <w:color w:val="auto"/>
                <w:sz w:val="22"/>
              </w:rPr>
            </w:pPr>
            <w:r>
              <w:rPr>
                <w:rFonts w:ascii="Arial" w:hAnsi="Arial"/>
                <w:color w:val="auto"/>
                <w:sz w:val="20"/>
                <w:szCs w:val="20"/>
              </w:rPr>
              <w:t>1</w:t>
            </w:r>
          </w:p>
        </w:tc>
      </w:tr>
      <w:tr>
        <w:trPr/>
        <w:tc>
          <w:tcPr>
            <w:tcW w:w="846" w:type="dxa"/>
            <w:tcBorders/>
            <w:vAlign w:val="center"/>
          </w:tcPr>
          <w:p>
            <w:pPr>
              <w:pStyle w:val="Normal"/>
              <w:suppressAutoHyphens w:val="true"/>
              <w:spacing w:before="0" w:after="0"/>
              <w:jc w:val="left"/>
              <w:rPr>
                <w:color w:val="auto"/>
                <w:sz w:val="22"/>
              </w:rPr>
            </w:pPr>
            <w:r>
              <w:rPr>
                <w:rFonts w:ascii="Arial" w:hAnsi="Arial"/>
                <w:color w:val="auto"/>
                <w:sz w:val="20"/>
                <w:szCs w:val="20"/>
              </w:rPr>
              <w:t>6.</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w:t>
            </w:r>
            <w:r>
              <w:rPr>
                <w:rFonts w:ascii="Arial" w:hAnsi="Arial"/>
                <w:color w:val="auto"/>
                <w:sz w:val="20"/>
                <w:szCs w:val="20"/>
              </w:rPr>
              <w:t>Pole jam“ elementas.</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szCs w:val="20"/>
              </w:rPr>
              <w:t>Vnt.</w:t>
            </w:r>
          </w:p>
        </w:tc>
        <w:tc>
          <w:tcPr>
            <w:tcW w:w="2551" w:type="dxa"/>
            <w:tcBorders/>
            <w:vAlign w:val="center"/>
          </w:tcPr>
          <w:p>
            <w:pPr>
              <w:pStyle w:val="Normal"/>
              <w:suppressAutoHyphens w:val="true"/>
              <w:spacing w:before="0" w:after="0"/>
              <w:jc w:val="left"/>
              <w:rPr>
                <w:color w:val="auto"/>
                <w:sz w:val="22"/>
              </w:rPr>
            </w:pPr>
            <w:r>
              <w:rPr>
                <w:rFonts w:ascii="Arial" w:hAnsi="Arial"/>
                <w:color w:val="auto"/>
                <w:sz w:val="20"/>
                <w:szCs w:val="20"/>
              </w:rPr>
              <w:t>1</w:t>
            </w:r>
          </w:p>
        </w:tc>
      </w:tr>
      <w:tr>
        <w:trPr/>
        <w:tc>
          <w:tcPr>
            <w:tcW w:w="846" w:type="dxa"/>
            <w:tcBorders/>
            <w:vAlign w:val="center"/>
          </w:tcPr>
          <w:p>
            <w:pPr>
              <w:pStyle w:val="Normal"/>
              <w:suppressAutoHyphens w:val="true"/>
              <w:spacing w:before="0" w:after="0"/>
              <w:jc w:val="left"/>
              <w:rPr>
                <w:color w:val="auto"/>
                <w:sz w:val="22"/>
              </w:rPr>
            </w:pPr>
            <w:r>
              <w:rPr>
                <w:rFonts w:ascii="Arial" w:hAnsi="Arial"/>
                <w:color w:val="auto"/>
                <w:sz w:val="20"/>
                <w:szCs w:val="20"/>
              </w:rPr>
              <w:t>7.</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Čiuožimo bortas. Borto ilgis 3,5 m, aukštis 35 cm.</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szCs w:val="20"/>
              </w:rPr>
              <w:t>Vnt.</w:t>
            </w:r>
          </w:p>
        </w:tc>
        <w:tc>
          <w:tcPr>
            <w:tcW w:w="2551" w:type="dxa"/>
            <w:tcBorders/>
            <w:vAlign w:val="center"/>
          </w:tcPr>
          <w:p>
            <w:pPr>
              <w:pStyle w:val="Normal"/>
              <w:suppressAutoHyphens w:val="true"/>
              <w:spacing w:before="0" w:after="0"/>
              <w:jc w:val="left"/>
              <w:rPr>
                <w:color w:val="auto"/>
                <w:sz w:val="22"/>
              </w:rPr>
            </w:pPr>
            <w:r>
              <w:rPr>
                <w:rFonts w:ascii="Arial" w:hAnsi="Arial"/>
                <w:color w:val="auto"/>
                <w:sz w:val="20"/>
                <w:szCs w:val="20"/>
              </w:rPr>
              <w:t>1</w:t>
            </w:r>
          </w:p>
        </w:tc>
      </w:tr>
      <w:tr>
        <w:trPr/>
        <w:tc>
          <w:tcPr>
            <w:tcW w:w="846" w:type="dxa"/>
            <w:tcBorders/>
            <w:vAlign w:val="center"/>
          </w:tcPr>
          <w:p>
            <w:pPr>
              <w:pStyle w:val="Normal"/>
              <w:suppressAutoHyphens w:val="true"/>
              <w:spacing w:before="0" w:after="0"/>
              <w:jc w:val="left"/>
              <w:rPr>
                <w:color w:val="auto"/>
                <w:sz w:val="22"/>
              </w:rPr>
            </w:pPr>
            <w:r>
              <w:rPr>
                <w:rFonts w:ascii="Arial" w:hAnsi="Arial"/>
                <w:color w:val="auto"/>
                <w:sz w:val="20"/>
                <w:szCs w:val="20"/>
              </w:rPr>
              <w:t>8.</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w:t>
            </w:r>
            <w:r>
              <w:rPr>
                <w:rFonts w:ascii="Arial" w:hAnsi="Arial"/>
                <w:color w:val="auto"/>
                <w:sz w:val="20"/>
                <w:szCs w:val="20"/>
              </w:rPr>
              <w:t>Curb“ čiuožimo elementas.</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szCs w:val="20"/>
              </w:rPr>
              <w:t>Vnt.</w:t>
            </w:r>
          </w:p>
        </w:tc>
        <w:tc>
          <w:tcPr>
            <w:tcW w:w="2551" w:type="dxa"/>
            <w:tcBorders/>
            <w:vAlign w:val="center"/>
          </w:tcPr>
          <w:p>
            <w:pPr>
              <w:pStyle w:val="Normal"/>
              <w:suppressAutoHyphens w:val="true"/>
              <w:spacing w:before="0" w:after="0"/>
              <w:jc w:val="left"/>
              <w:rPr>
                <w:color w:val="auto"/>
                <w:sz w:val="22"/>
              </w:rPr>
            </w:pPr>
            <w:r>
              <w:rPr>
                <w:rFonts w:ascii="Arial" w:hAnsi="Arial"/>
                <w:color w:val="auto"/>
                <w:sz w:val="20"/>
                <w:szCs w:val="20"/>
              </w:rPr>
              <w:t>1</w:t>
            </w:r>
          </w:p>
        </w:tc>
      </w:tr>
      <w:tr>
        <w:trPr/>
        <w:tc>
          <w:tcPr>
            <w:tcW w:w="846" w:type="dxa"/>
            <w:tcBorders/>
            <w:vAlign w:val="center"/>
          </w:tcPr>
          <w:p>
            <w:pPr>
              <w:pStyle w:val="Normal"/>
              <w:suppressAutoHyphens w:val="true"/>
              <w:spacing w:before="0" w:after="0"/>
              <w:jc w:val="left"/>
              <w:rPr>
                <w:color w:val="auto"/>
                <w:sz w:val="22"/>
              </w:rPr>
            </w:pPr>
            <w:r>
              <w:rPr>
                <w:rFonts w:ascii="Arial" w:hAnsi="Arial"/>
                <w:color w:val="auto"/>
                <w:sz w:val="20"/>
                <w:szCs w:val="20"/>
              </w:rPr>
              <w:t>9.</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w:t>
            </w:r>
            <w:r>
              <w:rPr>
                <w:rFonts w:ascii="Arial" w:hAnsi="Arial"/>
                <w:color w:val="auto"/>
                <w:sz w:val="20"/>
                <w:szCs w:val="20"/>
              </w:rPr>
              <w:t>A frame“ čiuožimo bortas. Borto bendras ilgis 5,1 m.</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szCs w:val="20"/>
              </w:rPr>
              <w:t>Vnt.</w:t>
            </w:r>
          </w:p>
        </w:tc>
        <w:tc>
          <w:tcPr>
            <w:tcW w:w="2551" w:type="dxa"/>
            <w:tcBorders/>
            <w:vAlign w:val="center"/>
          </w:tcPr>
          <w:p>
            <w:pPr>
              <w:pStyle w:val="Normal"/>
              <w:suppressAutoHyphens w:val="true"/>
              <w:spacing w:before="0" w:after="0"/>
              <w:jc w:val="left"/>
              <w:rPr>
                <w:color w:val="auto"/>
                <w:sz w:val="22"/>
              </w:rPr>
            </w:pPr>
            <w:r>
              <w:rPr>
                <w:rFonts w:ascii="Arial" w:hAnsi="Arial"/>
                <w:color w:val="auto"/>
                <w:sz w:val="20"/>
                <w:szCs w:val="20"/>
              </w:rPr>
              <w:t>1</w:t>
            </w:r>
          </w:p>
        </w:tc>
      </w:tr>
      <w:tr>
        <w:trPr/>
        <w:tc>
          <w:tcPr>
            <w:tcW w:w="846" w:type="dxa"/>
            <w:tcBorders/>
            <w:vAlign w:val="center"/>
          </w:tcPr>
          <w:p>
            <w:pPr>
              <w:pStyle w:val="Normal"/>
              <w:suppressAutoHyphens w:val="true"/>
              <w:spacing w:before="0" w:after="0"/>
              <w:jc w:val="left"/>
              <w:rPr>
                <w:color w:val="auto"/>
                <w:sz w:val="22"/>
              </w:rPr>
            </w:pPr>
            <w:r>
              <w:rPr>
                <w:rFonts w:ascii="Arial" w:hAnsi="Arial"/>
                <w:color w:val="auto"/>
                <w:sz w:val="20"/>
                <w:szCs w:val="20"/>
              </w:rPr>
              <w:t>10.</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Čiuožimo turėklas. Turėklo ilgis 4,0 m, aukštis 30 cm.</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szCs w:val="20"/>
              </w:rPr>
              <w:t>Vnt.</w:t>
            </w:r>
          </w:p>
        </w:tc>
        <w:tc>
          <w:tcPr>
            <w:tcW w:w="2551" w:type="dxa"/>
            <w:tcBorders/>
            <w:vAlign w:val="center"/>
          </w:tcPr>
          <w:p>
            <w:pPr>
              <w:pStyle w:val="Normal"/>
              <w:suppressAutoHyphens w:val="true"/>
              <w:spacing w:before="0" w:after="0"/>
              <w:jc w:val="left"/>
              <w:rPr>
                <w:color w:val="auto"/>
                <w:sz w:val="22"/>
              </w:rPr>
            </w:pPr>
            <w:r>
              <w:rPr>
                <w:rFonts w:ascii="Arial" w:hAnsi="Arial"/>
                <w:color w:val="auto"/>
                <w:sz w:val="20"/>
                <w:szCs w:val="20"/>
              </w:rPr>
              <w:t>1</w:t>
            </w:r>
          </w:p>
        </w:tc>
      </w:tr>
      <w:tr>
        <w:trPr/>
        <w:tc>
          <w:tcPr>
            <w:tcW w:w="846" w:type="dxa"/>
            <w:tcBorders/>
            <w:vAlign w:val="center"/>
          </w:tcPr>
          <w:p>
            <w:pPr>
              <w:pStyle w:val="Normal"/>
              <w:suppressAutoHyphens w:val="true"/>
              <w:spacing w:before="0" w:after="0"/>
              <w:jc w:val="left"/>
              <w:rPr>
                <w:color w:val="auto"/>
                <w:sz w:val="22"/>
              </w:rPr>
            </w:pPr>
            <w:r>
              <w:rPr>
                <w:rFonts w:ascii="Arial" w:hAnsi="Arial"/>
                <w:color w:val="auto"/>
                <w:sz w:val="20"/>
                <w:szCs w:val="20"/>
              </w:rPr>
              <w:t>11.</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w:t>
            </w:r>
            <w:r>
              <w:rPr>
                <w:rFonts w:ascii="Arial" w:hAnsi="Arial"/>
                <w:color w:val="auto"/>
                <w:sz w:val="20"/>
                <w:szCs w:val="20"/>
              </w:rPr>
              <w:t>Kicker rampa“ Rampos aukštis 35 cm.</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rPr>
              <w:t>m</w:t>
            </w:r>
            <w:r>
              <w:rPr>
                <w:rFonts w:ascii="Arial" w:hAnsi="Arial"/>
                <w:color w:val="auto"/>
                <w:sz w:val="20"/>
                <w:vertAlign w:val="superscript"/>
              </w:rPr>
              <w:t>2</w:t>
            </w:r>
          </w:p>
        </w:tc>
        <w:tc>
          <w:tcPr>
            <w:tcW w:w="2551" w:type="dxa"/>
            <w:tcBorders/>
            <w:vAlign w:val="center"/>
          </w:tcPr>
          <w:p>
            <w:pPr>
              <w:pStyle w:val="Normal"/>
              <w:suppressAutoHyphens w:val="true"/>
              <w:spacing w:before="0" w:after="0"/>
              <w:jc w:val="left"/>
              <w:rPr>
                <w:color w:val="auto"/>
                <w:sz w:val="22"/>
              </w:rPr>
            </w:pPr>
            <w:r>
              <w:rPr>
                <w:rFonts w:ascii="Arial" w:hAnsi="Arial"/>
                <w:color w:val="auto"/>
                <w:sz w:val="20"/>
                <w:szCs w:val="20"/>
              </w:rPr>
              <w:t>3,00</w:t>
            </w:r>
          </w:p>
        </w:tc>
      </w:tr>
      <w:tr>
        <w:trPr/>
        <w:tc>
          <w:tcPr>
            <w:tcW w:w="846" w:type="dxa"/>
            <w:tcBorders/>
            <w:vAlign w:val="center"/>
          </w:tcPr>
          <w:p>
            <w:pPr>
              <w:pStyle w:val="Normal"/>
              <w:suppressAutoHyphens w:val="true"/>
              <w:spacing w:before="0" w:after="0"/>
              <w:jc w:val="left"/>
              <w:rPr>
                <w:color w:val="auto"/>
                <w:sz w:val="22"/>
              </w:rPr>
            </w:pPr>
            <w:r>
              <w:rPr>
                <w:rFonts w:ascii="Arial" w:hAnsi="Arial"/>
                <w:color w:val="auto"/>
                <w:sz w:val="20"/>
                <w:szCs w:val="20"/>
              </w:rPr>
              <w:t>12.</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Banga. Bangos aukštis 45 cm.</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rPr>
              <w:t>m</w:t>
            </w:r>
            <w:r>
              <w:rPr>
                <w:rFonts w:ascii="Arial" w:hAnsi="Arial"/>
                <w:color w:val="auto"/>
                <w:sz w:val="20"/>
                <w:vertAlign w:val="superscript"/>
              </w:rPr>
              <w:t>2</w:t>
            </w:r>
          </w:p>
        </w:tc>
        <w:tc>
          <w:tcPr>
            <w:tcW w:w="2551" w:type="dxa"/>
            <w:tcBorders/>
            <w:vAlign w:val="center"/>
          </w:tcPr>
          <w:p>
            <w:pPr>
              <w:pStyle w:val="Normal"/>
              <w:suppressAutoHyphens w:val="true"/>
              <w:spacing w:before="0" w:after="0"/>
              <w:jc w:val="left"/>
              <w:rPr>
                <w:color w:val="auto"/>
                <w:sz w:val="22"/>
              </w:rPr>
            </w:pPr>
            <w:r>
              <w:rPr>
                <w:rFonts w:ascii="Arial" w:hAnsi="Arial"/>
                <w:color w:val="auto"/>
                <w:sz w:val="20"/>
                <w:szCs w:val="20"/>
              </w:rPr>
              <w:t>12,50</w:t>
            </w:r>
          </w:p>
        </w:tc>
      </w:tr>
      <w:tr>
        <w:trPr/>
        <w:tc>
          <w:tcPr>
            <w:tcW w:w="846" w:type="dxa"/>
            <w:tcBorders/>
            <w:vAlign w:val="center"/>
          </w:tcPr>
          <w:p>
            <w:pPr>
              <w:pStyle w:val="Normal"/>
              <w:suppressAutoHyphens w:val="true"/>
              <w:spacing w:before="0" w:after="0"/>
              <w:jc w:val="left"/>
              <w:rPr>
                <w:color w:val="auto"/>
                <w:sz w:val="22"/>
              </w:rPr>
            </w:pPr>
            <w:r>
              <w:rPr>
                <w:rFonts w:ascii="Arial" w:hAnsi="Arial"/>
                <w:color w:val="auto"/>
                <w:sz w:val="20"/>
                <w:szCs w:val="20"/>
              </w:rPr>
              <w:t>13.</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Pusrampė. Pusrampės aukštis 1100 mm.</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rPr>
              <w:t>m</w:t>
            </w:r>
            <w:r>
              <w:rPr>
                <w:rFonts w:ascii="Arial" w:hAnsi="Arial"/>
                <w:color w:val="auto"/>
                <w:sz w:val="20"/>
                <w:vertAlign w:val="superscript"/>
              </w:rPr>
              <w:t>2</w:t>
            </w:r>
          </w:p>
        </w:tc>
        <w:tc>
          <w:tcPr>
            <w:tcW w:w="2551" w:type="dxa"/>
            <w:tcBorders/>
            <w:vAlign w:val="center"/>
          </w:tcPr>
          <w:p>
            <w:pPr>
              <w:pStyle w:val="Normal"/>
              <w:suppressAutoHyphens w:val="true"/>
              <w:spacing w:before="0" w:after="0"/>
              <w:jc w:val="left"/>
              <w:rPr>
                <w:color w:val="auto"/>
                <w:sz w:val="22"/>
              </w:rPr>
            </w:pPr>
            <w:r>
              <w:rPr>
                <w:rFonts w:ascii="Arial" w:hAnsi="Arial"/>
                <w:color w:val="auto"/>
                <w:sz w:val="20"/>
                <w:szCs w:val="20"/>
              </w:rPr>
              <w:t>23,00</w:t>
            </w:r>
          </w:p>
        </w:tc>
      </w:tr>
      <w:tr>
        <w:trPr/>
        <w:tc>
          <w:tcPr>
            <w:tcW w:w="846" w:type="dxa"/>
            <w:tcBorders/>
            <w:vAlign w:val="center"/>
          </w:tcPr>
          <w:p>
            <w:pPr>
              <w:pStyle w:val="Normal"/>
              <w:suppressAutoHyphens w:val="true"/>
              <w:spacing w:before="0" w:after="0"/>
              <w:jc w:val="left"/>
              <w:rPr>
                <w:color w:val="auto"/>
                <w:sz w:val="22"/>
              </w:rPr>
            </w:pPr>
            <w:r>
              <w:rPr>
                <w:rFonts w:ascii="Arial" w:hAnsi="Arial"/>
                <w:color w:val="auto"/>
                <w:sz w:val="20"/>
                <w:szCs w:val="20"/>
              </w:rPr>
              <w:t>14.</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Piramidės kampas. Elemento aukštis 65 cm.</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rPr>
              <w:t>m</w:t>
            </w:r>
            <w:r>
              <w:rPr>
                <w:rFonts w:ascii="Arial" w:hAnsi="Arial"/>
                <w:color w:val="auto"/>
                <w:sz w:val="20"/>
                <w:vertAlign w:val="superscript"/>
              </w:rPr>
              <w:t>2</w:t>
            </w:r>
          </w:p>
        </w:tc>
        <w:tc>
          <w:tcPr>
            <w:tcW w:w="2551" w:type="dxa"/>
            <w:tcBorders/>
            <w:vAlign w:val="center"/>
          </w:tcPr>
          <w:p>
            <w:pPr>
              <w:pStyle w:val="Normal"/>
              <w:suppressAutoHyphens w:val="true"/>
              <w:spacing w:before="0" w:after="0"/>
              <w:jc w:val="left"/>
              <w:rPr>
                <w:color w:val="auto"/>
                <w:sz w:val="22"/>
              </w:rPr>
            </w:pPr>
            <w:r>
              <w:rPr>
                <w:rFonts w:ascii="Arial" w:hAnsi="Arial"/>
                <w:color w:val="auto"/>
                <w:sz w:val="20"/>
                <w:szCs w:val="20"/>
              </w:rPr>
              <w:t>28,00</w:t>
            </w:r>
          </w:p>
        </w:tc>
      </w:tr>
      <w:tr>
        <w:trPr/>
        <w:tc>
          <w:tcPr>
            <w:tcW w:w="846" w:type="dxa"/>
            <w:tcBorders/>
            <w:vAlign w:val="center"/>
          </w:tcPr>
          <w:p>
            <w:pPr>
              <w:pStyle w:val="Normal"/>
              <w:suppressAutoHyphens w:val="true"/>
              <w:spacing w:before="0" w:after="0"/>
              <w:jc w:val="left"/>
              <w:rPr>
                <w:color w:val="auto"/>
                <w:sz w:val="22"/>
              </w:rPr>
            </w:pPr>
            <w:r>
              <w:rPr>
                <w:rFonts w:ascii="Arial" w:hAnsi="Arial"/>
                <w:color w:val="auto"/>
                <w:sz w:val="20"/>
                <w:szCs w:val="20"/>
              </w:rPr>
              <w:t>15.</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Pusrampė su piramidės kampu. Pusrampės aukštis 1100 mm.</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rPr>
              <w:t>m</w:t>
            </w:r>
            <w:r>
              <w:rPr>
                <w:rFonts w:ascii="Arial" w:hAnsi="Arial"/>
                <w:color w:val="auto"/>
                <w:sz w:val="20"/>
                <w:vertAlign w:val="superscript"/>
              </w:rPr>
              <w:t>2</w:t>
            </w:r>
          </w:p>
        </w:tc>
        <w:tc>
          <w:tcPr>
            <w:tcW w:w="2551" w:type="dxa"/>
            <w:tcBorders/>
            <w:vAlign w:val="center"/>
          </w:tcPr>
          <w:p>
            <w:pPr>
              <w:pStyle w:val="Normal"/>
              <w:suppressAutoHyphens w:val="true"/>
              <w:spacing w:before="0" w:after="0"/>
              <w:jc w:val="left"/>
              <w:rPr>
                <w:color w:val="auto"/>
                <w:sz w:val="22"/>
              </w:rPr>
            </w:pPr>
            <w:r>
              <w:rPr>
                <w:rFonts w:ascii="Arial" w:hAnsi="Arial"/>
                <w:color w:val="auto"/>
                <w:sz w:val="20"/>
                <w:szCs w:val="20"/>
              </w:rPr>
              <w:t>35,00</w:t>
            </w:r>
          </w:p>
        </w:tc>
      </w:tr>
      <w:tr>
        <w:trPr/>
        <w:tc>
          <w:tcPr>
            <w:tcW w:w="846" w:type="dxa"/>
            <w:tcBorders/>
            <w:vAlign w:val="center"/>
          </w:tcPr>
          <w:p>
            <w:pPr>
              <w:pStyle w:val="Normal"/>
              <w:suppressAutoHyphens w:val="true"/>
              <w:spacing w:before="0" w:after="0"/>
              <w:jc w:val="left"/>
              <w:rPr>
                <w:color w:val="auto"/>
                <w:sz w:val="22"/>
              </w:rPr>
            </w:pPr>
            <w:r>
              <w:rPr>
                <w:rFonts w:ascii="Arial" w:hAnsi="Arial"/>
                <w:color w:val="auto"/>
                <w:sz w:val="20"/>
                <w:szCs w:val="20"/>
              </w:rPr>
              <w:t>16.</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Du balansiniai padai su 70 cm šuolių tarpu ir vientisu čiuožimo turėklu. Turėklo bendras ilgis 7 m. Balansinių padų aukštis 15 cm. Kiekvieno pado ilgis 3m, plotis 1,70 m.</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rPr>
              <w:t>m</w:t>
            </w:r>
            <w:r>
              <w:rPr>
                <w:rFonts w:ascii="Arial" w:hAnsi="Arial"/>
                <w:color w:val="auto"/>
                <w:sz w:val="20"/>
                <w:vertAlign w:val="superscript"/>
              </w:rPr>
              <w:t>2</w:t>
            </w:r>
          </w:p>
        </w:tc>
        <w:tc>
          <w:tcPr>
            <w:tcW w:w="2551" w:type="dxa"/>
            <w:tcBorders/>
            <w:vAlign w:val="center"/>
          </w:tcPr>
          <w:p>
            <w:pPr>
              <w:pStyle w:val="Normal"/>
              <w:suppressAutoHyphens w:val="true"/>
              <w:spacing w:before="0" w:after="0"/>
              <w:jc w:val="left"/>
              <w:rPr>
                <w:color w:val="auto"/>
                <w:sz w:val="22"/>
              </w:rPr>
            </w:pPr>
            <w:r>
              <w:rPr>
                <w:rFonts w:ascii="Arial" w:hAnsi="Arial"/>
                <w:color w:val="auto"/>
                <w:sz w:val="20"/>
                <w:szCs w:val="20"/>
              </w:rPr>
              <w:t>10,00</w:t>
            </w:r>
          </w:p>
        </w:tc>
      </w:tr>
      <w:tr>
        <w:trPr/>
        <w:tc>
          <w:tcPr>
            <w:tcW w:w="846" w:type="dxa"/>
            <w:tcBorders/>
            <w:vAlign w:val="center"/>
          </w:tcPr>
          <w:p>
            <w:pPr>
              <w:pStyle w:val="Normal"/>
              <w:suppressAutoHyphens w:val="true"/>
              <w:spacing w:before="0" w:after="0"/>
              <w:jc w:val="left"/>
              <w:rPr>
                <w:color w:val="auto"/>
                <w:sz w:val="22"/>
              </w:rPr>
            </w:pPr>
            <w:r>
              <w:rPr>
                <w:rFonts w:ascii="Arial" w:hAnsi="Arial"/>
                <w:color w:val="auto"/>
                <w:sz w:val="20"/>
                <w:szCs w:val="20"/>
              </w:rPr>
              <w:t>17.</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Čiuožimo bortas. Borto aukštis 45 cm.</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rPr>
              <w:t>m</w:t>
            </w:r>
            <w:r>
              <w:rPr>
                <w:rFonts w:ascii="Arial" w:hAnsi="Arial"/>
                <w:color w:val="auto"/>
                <w:sz w:val="20"/>
                <w:vertAlign w:val="superscript"/>
              </w:rPr>
              <w:t>2</w:t>
            </w:r>
          </w:p>
        </w:tc>
        <w:tc>
          <w:tcPr>
            <w:tcW w:w="2551" w:type="dxa"/>
            <w:tcBorders/>
            <w:vAlign w:val="center"/>
          </w:tcPr>
          <w:p>
            <w:pPr>
              <w:pStyle w:val="Normal"/>
              <w:suppressAutoHyphens w:val="true"/>
              <w:spacing w:before="0" w:after="0"/>
              <w:jc w:val="left"/>
              <w:rPr>
                <w:color w:val="auto"/>
                <w:sz w:val="22"/>
              </w:rPr>
            </w:pPr>
            <w:r>
              <w:rPr>
                <w:rFonts w:ascii="Arial" w:hAnsi="Arial"/>
                <w:color w:val="auto"/>
                <w:sz w:val="20"/>
                <w:szCs w:val="20"/>
              </w:rPr>
              <w:t>6,65</w:t>
            </w:r>
          </w:p>
        </w:tc>
      </w:tr>
      <w:tr>
        <w:trPr/>
        <w:tc>
          <w:tcPr>
            <w:tcW w:w="846" w:type="dxa"/>
            <w:tcBorders/>
            <w:vAlign w:val="center"/>
          </w:tcPr>
          <w:p>
            <w:pPr>
              <w:pStyle w:val="Normal"/>
              <w:suppressAutoHyphens w:val="true"/>
              <w:spacing w:before="0" w:after="0"/>
              <w:jc w:val="left"/>
              <w:rPr>
                <w:color w:val="auto"/>
                <w:sz w:val="22"/>
              </w:rPr>
            </w:pPr>
            <w:r>
              <w:rPr>
                <w:rFonts w:ascii="Arial" w:hAnsi="Arial"/>
                <w:color w:val="auto"/>
                <w:sz w:val="20"/>
                <w:szCs w:val="20"/>
              </w:rPr>
              <w:t>18.</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Daugiafunkcinė gatvės stiliaus rampa. Rampa susideda iš dviejų laiptų, užvažiavimo ir nuvažiavimo rampų, „pole jam“, Žemėjančių čiuožimo turėklų, ir vienu „Kink“ turėklu.</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rPr>
              <w:t>m</w:t>
            </w:r>
            <w:r>
              <w:rPr>
                <w:rFonts w:ascii="Arial" w:hAnsi="Arial"/>
                <w:color w:val="auto"/>
                <w:sz w:val="20"/>
                <w:vertAlign w:val="superscript"/>
              </w:rPr>
              <w:t>2</w:t>
            </w:r>
          </w:p>
        </w:tc>
        <w:tc>
          <w:tcPr>
            <w:tcW w:w="2551" w:type="dxa"/>
            <w:tcBorders/>
            <w:vAlign w:val="center"/>
          </w:tcPr>
          <w:p>
            <w:pPr>
              <w:pStyle w:val="Normal"/>
              <w:suppressAutoHyphens w:val="true"/>
              <w:spacing w:before="0" w:after="0"/>
              <w:jc w:val="left"/>
              <w:rPr>
                <w:color w:val="auto"/>
                <w:sz w:val="22"/>
              </w:rPr>
            </w:pPr>
            <w:r>
              <w:rPr>
                <w:rFonts w:ascii="Arial" w:hAnsi="Arial"/>
                <w:color w:val="auto"/>
                <w:sz w:val="20"/>
                <w:szCs w:val="20"/>
              </w:rPr>
              <w:t>46,75</w:t>
            </w:r>
          </w:p>
        </w:tc>
      </w:tr>
      <w:tr>
        <w:trPr/>
        <w:tc>
          <w:tcPr>
            <w:tcW w:w="846" w:type="dxa"/>
            <w:tcBorders/>
            <w:vAlign w:val="center"/>
          </w:tcPr>
          <w:p>
            <w:pPr>
              <w:pStyle w:val="Normal"/>
              <w:suppressAutoHyphens w:val="true"/>
              <w:spacing w:before="0" w:after="0"/>
              <w:jc w:val="left"/>
              <w:rPr>
                <w:color w:val="auto"/>
                <w:sz w:val="22"/>
              </w:rPr>
            </w:pPr>
            <w:r>
              <w:rPr>
                <w:rFonts w:ascii="Arial" w:hAnsi="Arial"/>
                <w:color w:val="auto"/>
                <w:sz w:val="20"/>
                <w:szCs w:val="20"/>
              </w:rPr>
              <w:t>19.</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Čiuožimo turėklas. Turėklo ilgis 4,0 m, aukštis 40 cm.</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szCs w:val="20"/>
              </w:rPr>
              <w:t>Vnt.</w:t>
            </w:r>
          </w:p>
        </w:tc>
        <w:tc>
          <w:tcPr>
            <w:tcW w:w="2551" w:type="dxa"/>
            <w:tcBorders/>
            <w:vAlign w:val="center"/>
          </w:tcPr>
          <w:p>
            <w:pPr>
              <w:pStyle w:val="Normal"/>
              <w:suppressAutoHyphens w:val="true"/>
              <w:spacing w:before="0" w:after="0"/>
              <w:jc w:val="left"/>
              <w:rPr>
                <w:color w:val="auto"/>
                <w:sz w:val="22"/>
              </w:rPr>
            </w:pPr>
            <w:r>
              <w:rPr>
                <w:rFonts w:ascii="Arial" w:hAnsi="Arial"/>
                <w:color w:val="auto"/>
                <w:sz w:val="20"/>
                <w:szCs w:val="20"/>
              </w:rPr>
              <w:t>1</w:t>
            </w:r>
          </w:p>
        </w:tc>
      </w:tr>
      <w:tr>
        <w:trPr/>
        <w:tc>
          <w:tcPr>
            <w:tcW w:w="846" w:type="dxa"/>
            <w:tcBorders/>
            <w:vAlign w:val="center"/>
          </w:tcPr>
          <w:p>
            <w:pPr>
              <w:pStyle w:val="Normal"/>
              <w:suppressAutoHyphens w:val="true"/>
              <w:spacing w:before="0" w:after="0"/>
              <w:jc w:val="left"/>
              <w:rPr>
                <w:color w:val="auto"/>
                <w:sz w:val="22"/>
              </w:rPr>
            </w:pPr>
            <w:r>
              <w:rPr>
                <w:rFonts w:ascii="Arial" w:hAnsi="Arial"/>
                <w:color w:val="auto"/>
                <w:sz w:val="20"/>
                <w:szCs w:val="20"/>
              </w:rPr>
              <w:t>20.</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Čiuožimo turėklas. Turėklo ilgis 4,0 m, aukštis 40 cm. Vamzdžio diametras 15 cm.</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szCs w:val="20"/>
              </w:rPr>
              <w:t>Vnt.</w:t>
            </w:r>
          </w:p>
        </w:tc>
        <w:tc>
          <w:tcPr>
            <w:tcW w:w="2551" w:type="dxa"/>
            <w:tcBorders/>
            <w:vAlign w:val="center"/>
          </w:tcPr>
          <w:p>
            <w:pPr>
              <w:pStyle w:val="Normal"/>
              <w:suppressAutoHyphens w:val="true"/>
              <w:spacing w:before="0" w:after="0"/>
              <w:jc w:val="left"/>
              <w:rPr>
                <w:color w:val="auto"/>
                <w:sz w:val="22"/>
              </w:rPr>
            </w:pPr>
            <w:r>
              <w:rPr>
                <w:rFonts w:ascii="Arial" w:hAnsi="Arial"/>
                <w:color w:val="auto"/>
                <w:sz w:val="20"/>
                <w:szCs w:val="20"/>
              </w:rPr>
              <w:t>1</w:t>
            </w:r>
          </w:p>
        </w:tc>
      </w:tr>
      <w:tr>
        <w:trPr/>
        <w:tc>
          <w:tcPr>
            <w:tcW w:w="846" w:type="dxa"/>
            <w:tcBorders/>
            <w:vAlign w:val="center"/>
          </w:tcPr>
          <w:p>
            <w:pPr>
              <w:pStyle w:val="Normal"/>
              <w:suppressAutoHyphens w:val="true"/>
              <w:spacing w:before="0" w:after="0"/>
              <w:jc w:val="left"/>
              <w:rPr>
                <w:color w:val="auto"/>
                <w:sz w:val="22"/>
              </w:rPr>
            </w:pPr>
            <w:r>
              <w:rPr>
                <w:rFonts w:ascii="Arial" w:hAnsi="Arial"/>
                <w:color w:val="auto"/>
                <w:sz w:val="20"/>
                <w:szCs w:val="20"/>
              </w:rPr>
              <w:t>21.</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Čiuožimo bortas. Borto aukštis 40 cm.</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rPr>
              <w:t>m</w:t>
            </w:r>
            <w:r>
              <w:rPr>
                <w:rFonts w:ascii="Arial" w:hAnsi="Arial"/>
                <w:color w:val="auto"/>
                <w:sz w:val="20"/>
                <w:vertAlign w:val="superscript"/>
              </w:rPr>
              <w:t>2</w:t>
            </w:r>
          </w:p>
        </w:tc>
        <w:tc>
          <w:tcPr>
            <w:tcW w:w="2551" w:type="dxa"/>
            <w:tcBorders/>
            <w:vAlign w:val="center"/>
          </w:tcPr>
          <w:p>
            <w:pPr>
              <w:pStyle w:val="Normal"/>
              <w:suppressAutoHyphens w:val="true"/>
              <w:spacing w:before="0" w:after="0"/>
              <w:jc w:val="left"/>
              <w:rPr>
                <w:color w:val="auto"/>
                <w:sz w:val="22"/>
              </w:rPr>
            </w:pPr>
            <w:r>
              <w:rPr>
                <w:rFonts w:ascii="Arial" w:hAnsi="Arial"/>
                <w:color w:val="auto"/>
                <w:sz w:val="20"/>
                <w:szCs w:val="20"/>
              </w:rPr>
              <w:t>4,30</w:t>
            </w:r>
          </w:p>
        </w:tc>
      </w:tr>
      <w:tr>
        <w:trPr/>
        <w:tc>
          <w:tcPr>
            <w:tcW w:w="846" w:type="dxa"/>
            <w:tcBorders/>
            <w:vAlign w:val="center"/>
          </w:tcPr>
          <w:p>
            <w:pPr>
              <w:pStyle w:val="Normal"/>
              <w:suppressAutoHyphens w:val="true"/>
              <w:spacing w:before="0" w:after="0"/>
              <w:jc w:val="left"/>
              <w:rPr>
                <w:color w:val="auto"/>
                <w:sz w:val="22"/>
              </w:rPr>
            </w:pPr>
            <w:r>
              <w:rPr>
                <w:rFonts w:ascii="Arial" w:hAnsi="Arial"/>
                <w:color w:val="auto"/>
                <w:sz w:val="20"/>
                <w:szCs w:val="20"/>
              </w:rPr>
              <w:t>22.</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Daugiafunkcinė rampa. Rampa su „euro gap“ balansiniu – čiuožimo bortu ir čiuožimo turėklu.</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rPr>
              <w:t>m</w:t>
            </w:r>
            <w:r>
              <w:rPr>
                <w:rFonts w:ascii="Arial" w:hAnsi="Arial"/>
                <w:color w:val="auto"/>
                <w:sz w:val="20"/>
                <w:vertAlign w:val="superscript"/>
              </w:rPr>
              <w:t>2</w:t>
            </w:r>
          </w:p>
        </w:tc>
        <w:tc>
          <w:tcPr>
            <w:tcW w:w="2551" w:type="dxa"/>
            <w:tcBorders/>
            <w:vAlign w:val="center"/>
          </w:tcPr>
          <w:p>
            <w:pPr>
              <w:pStyle w:val="Normal"/>
              <w:suppressAutoHyphens w:val="true"/>
              <w:spacing w:before="0" w:after="0"/>
              <w:jc w:val="left"/>
              <w:rPr>
                <w:color w:val="auto"/>
                <w:sz w:val="22"/>
              </w:rPr>
            </w:pPr>
            <w:r>
              <w:rPr>
                <w:rFonts w:ascii="Arial" w:hAnsi="Arial"/>
                <w:color w:val="auto"/>
                <w:sz w:val="20"/>
                <w:szCs w:val="20"/>
              </w:rPr>
              <w:t>16,50</w:t>
            </w:r>
          </w:p>
        </w:tc>
      </w:tr>
      <w:tr>
        <w:trPr/>
        <w:tc>
          <w:tcPr>
            <w:tcW w:w="846" w:type="dxa"/>
            <w:tcBorders/>
            <w:vAlign w:val="center"/>
          </w:tcPr>
          <w:p>
            <w:pPr>
              <w:pStyle w:val="Normal"/>
              <w:suppressAutoHyphens w:val="true"/>
              <w:spacing w:before="0" w:after="0"/>
              <w:jc w:val="left"/>
              <w:rPr>
                <w:color w:val="auto"/>
                <w:sz w:val="22"/>
              </w:rPr>
            </w:pPr>
            <w:r>
              <w:rPr>
                <w:rFonts w:ascii="Arial" w:hAnsi="Arial"/>
                <w:color w:val="auto"/>
                <w:sz w:val="20"/>
                <w:szCs w:val="20"/>
              </w:rPr>
              <w:t>23.</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w:t>
            </w:r>
            <w:r>
              <w:rPr>
                <w:rFonts w:ascii="Arial" w:hAnsi="Arial"/>
                <w:color w:val="auto"/>
                <w:sz w:val="20"/>
                <w:szCs w:val="20"/>
              </w:rPr>
              <w:t>Bank“ čiuožimo rampa.</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rPr>
              <w:t>m</w:t>
            </w:r>
            <w:r>
              <w:rPr>
                <w:rFonts w:ascii="Arial" w:hAnsi="Arial"/>
                <w:color w:val="auto"/>
                <w:sz w:val="20"/>
                <w:vertAlign w:val="superscript"/>
              </w:rPr>
              <w:t>2</w:t>
            </w:r>
          </w:p>
        </w:tc>
        <w:tc>
          <w:tcPr>
            <w:tcW w:w="2551" w:type="dxa"/>
            <w:tcBorders/>
            <w:vAlign w:val="center"/>
          </w:tcPr>
          <w:p>
            <w:pPr>
              <w:pStyle w:val="Normal"/>
              <w:suppressAutoHyphens w:val="true"/>
              <w:spacing w:before="0" w:after="0"/>
              <w:jc w:val="left"/>
              <w:rPr>
                <w:color w:val="auto"/>
                <w:sz w:val="22"/>
              </w:rPr>
            </w:pPr>
            <w:r>
              <w:rPr>
                <w:rFonts w:ascii="Arial" w:hAnsi="Arial"/>
                <w:color w:val="auto"/>
                <w:sz w:val="20"/>
                <w:szCs w:val="20"/>
              </w:rPr>
              <w:t>16,30</w:t>
            </w:r>
          </w:p>
        </w:tc>
      </w:tr>
      <w:tr>
        <w:trPr/>
        <w:tc>
          <w:tcPr>
            <w:tcW w:w="846" w:type="dxa"/>
            <w:tcBorders/>
            <w:vAlign w:val="center"/>
          </w:tcPr>
          <w:p>
            <w:pPr>
              <w:pStyle w:val="Normal"/>
              <w:suppressAutoHyphens w:val="true"/>
              <w:spacing w:before="0" w:after="0"/>
              <w:jc w:val="left"/>
              <w:rPr>
                <w:color w:val="auto"/>
                <w:sz w:val="22"/>
              </w:rPr>
            </w:pPr>
            <w:r>
              <w:rPr>
                <w:rFonts w:ascii="Arial" w:hAnsi="Arial"/>
                <w:color w:val="auto"/>
                <w:sz w:val="20"/>
                <w:szCs w:val="20"/>
              </w:rPr>
              <w:t>24.</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w:t>
            </w:r>
            <w:r>
              <w:rPr>
                <w:rFonts w:ascii="Arial" w:hAnsi="Arial"/>
                <w:color w:val="auto"/>
                <w:sz w:val="20"/>
                <w:szCs w:val="20"/>
              </w:rPr>
              <w:t>China bank“ čiuožimo bortas. Borto aukštis 55 cm.</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rPr>
              <w:t>m</w:t>
            </w:r>
            <w:r>
              <w:rPr>
                <w:rFonts w:ascii="Arial" w:hAnsi="Arial"/>
                <w:color w:val="auto"/>
                <w:sz w:val="20"/>
                <w:vertAlign w:val="superscript"/>
              </w:rPr>
              <w:t>2</w:t>
            </w:r>
          </w:p>
        </w:tc>
        <w:tc>
          <w:tcPr>
            <w:tcW w:w="2551" w:type="dxa"/>
            <w:tcBorders/>
            <w:vAlign w:val="center"/>
          </w:tcPr>
          <w:p>
            <w:pPr>
              <w:pStyle w:val="Normal"/>
              <w:suppressAutoHyphens w:val="true"/>
              <w:spacing w:before="0" w:after="0"/>
              <w:jc w:val="left"/>
              <w:rPr>
                <w:color w:val="auto"/>
                <w:sz w:val="22"/>
              </w:rPr>
            </w:pPr>
            <w:r>
              <w:rPr>
                <w:rFonts w:ascii="Arial" w:hAnsi="Arial"/>
                <w:color w:val="auto"/>
                <w:sz w:val="20"/>
                <w:szCs w:val="20"/>
              </w:rPr>
              <w:t>10,30</w:t>
            </w:r>
          </w:p>
        </w:tc>
      </w:tr>
      <w:tr>
        <w:trPr/>
        <w:tc>
          <w:tcPr>
            <w:tcW w:w="846" w:type="dxa"/>
            <w:tcBorders/>
            <w:vAlign w:val="center"/>
          </w:tcPr>
          <w:p>
            <w:pPr>
              <w:pStyle w:val="Normal"/>
              <w:suppressAutoHyphens w:val="true"/>
              <w:spacing w:before="0" w:after="0"/>
              <w:jc w:val="left"/>
              <w:rPr>
                <w:color w:val="auto"/>
                <w:sz w:val="22"/>
              </w:rPr>
            </w:pPr>
            <w:r>
              <w:rPr>
                <w:rFonts w:ascii="Arial" w:hAnsi="Arial"/>
                <w:color w:val="auto"/>
                <w:sz w:val="20"/>
                <w:szCs w:val="20"/>
              </w:rPr>
              <w:t>25.</w:t>
            </w:r>
          </w:p>
        </w:tc>
        <w:tc>
          <w:tcPr>
            <w:tcW w:w="5671" w:type="dxa"/>
            <w:tcBorders/>
            <w:vAlign w:val="center"/>
          </w:tcPr>
          <w:p>
            <w:pPr>
              <w:pStyle w:val="Normal"/>
              <w:suppressAutoHyphens w:val="true"/>
              <w:spacing w:before="0" w:after="0"/>
              <w:jc w:val="left"/>
              <w:rPr>
                <w:color w:val="auto"/>
                <w:sz w:val="22"/>
              </w:rPr>
            </w:pPr>
            <w:r>
              <w:rPr>
                <w:rFonts w:ascii="Arial" w:hAnsi="Arial"/>
                <w:color w:val="auto"/>
                <w:sz w:val="20"/>
                <w:szCs w:val="20"/>
              </w:rPr>
              <w:t>Šuolių rampa. Rampos aukštis 35 cm.</w:t>
            </w:r>
          </w:p>
        </w:tc>
        <w:tc>
          <w:tcPr>
            <w:tcW w:w="1275" w:type="dxa"/>
            <w:tcBorders/>
            <w:vAlign w:val="center"/>
          </w:tcPr>
          <w:p>
            <w:pPr>
              <w:pStyle w:val="Normal"/>
              <w:suppressAutoHyphens w:val="true"/>
              <w:spacing w:before="0" w:after="0"/>
              <w:jc w:val="center"/>
              <w:rPr>
                <w:color w:val="auto"/>
                <w:sz w:val="22"/>
              </w:rPr>
            </w:pPr>
            <w:r>
              <w:rPr>
                <w:rFonts w:ascii="Arial" w:hAnsi="Arial"/>
                <w:color w:val="auto"/>
                <w:sz w:val="20"/>
              </w:rPr>
              <w:t>m</w:t>
            </w:r>
            <w:r>
              <w:rPr>
                <w:rFonts w:ascii="Arial" w:hAnsi="Arial"/>
                <w:color w:val="auto"/>
                <w:sz w:val="20"/>
                <w:vertAlign w:val="superscript"/>
              </w:rPr>
              <w:t>2</w:t>
            </w:r>
          </w:p>
        </w:tc>
        <w:tc>
          <w:tcPr>
            <w:tcW w:w="2551" w:type="dxa"/>
            <w:tcBorders/>
            <w:vAlign w:val="center"/>
          </w:tcPr>
          <w:p>
            <w:pPr>
              <w:pStyle w:val="Normal"/>
              <w:suppressAutoHyphens w:val="true"/>
              <w:spacing w:before="0" w:after="0"/>
              <w:jc w:val="left"/>
              <w:rPr>
                <w:color w:val="auto"/>
                <w:sz w:val="22"/>
              </w:rPr>
            </w:pPr>
            <w:r>
              <w:rPr>
                <w:rFonts w:ascii="Arial" w:hAnsi="Arial"/>
                <w:color w:val="auto"/>
                <w:sz w:val="20"/>
                <w:szCs w:val="20"/>
              </w:rPr>
              <w:t>19,20</w:t>
            </w:r>
          </w:p>
        </w:tc>
      </w:tr>
    </w:tbl>
    <w:p>
      <w:pPr>
        <w:pStyle w:val="Normal"/>
        <w:suppressAutoHyphens w:val="true"/>
        <w:spacing w:before="0" w:after="0"/>
        <w:rPr>
          <w:rFonts w:ascii="Arial" w:hAnsi="Arial"/>
          <w:color w:val="auto"/>
          <w:sz w:val="20"/>
          <w:szCs w:val="20"/>
        </w:rPr>
      </w:pPr>
      <w:r>
        <w:rPr>
          <w:rFonts w:ascii="Arial" w:hAnsi="Arial"/>
          <w:color w:val="auto"/>
          <w:sz w:val="20"/>
          <w:szCs w:val="20"/>
        </w:rPr>
      </w:r>
    </w:p>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r>
    </w:p>
    <w:p>
      <w:pPr>
        <w:pStyle w:val="Paprtekstas"/>
        <w:widowControl/>
        <w:suppressAutoHyphens w:val="true"/>
        <w:bidi w:val="0"/>
        <w:spacing w:lineRule="auto" w:line="276"/>
        <w:rPr>
          <w:color w:val="auto"/>
        </w:rPr>
      </w:pPr>
      <w:r>
        <w:rPr>
          <w:rFonts w:eastAsia="Times New Roman" w:cs="Times New Roman"/>
          <w:b/>
          <w:bCs/>
          <w:color w:val="auto"/>
          <w:kern w:val="0"/>
          <w:sz w:val="22"/>
          <w:szCs w:val="22"/>
          <w:lang w:val="lt-LT" w:eastAsia="en-US" w:bidi="ar-SA"/>
        </w:rPr>
        <w:t>4. 9. Stacionarus lauko WC</w:t>
      </w:r>
    </w:p>
    <w:p>
      <w:pPr>
        <w:pStyle w:val="Paprtekstas"/>
        <w:widowControl/>
        <w:suppressAutoHyphens w:val="true"/>
        <w:bidi w:val="0"/>
        <w:spacing w:lineRule="auto" w:line="276"/>
        <w:jc w:val="both"/>
        <w:rPr>
          <w:color w:val="auto"/>
        </w:rPr>
      </w:pPr>
      <w:r>
        <w:rPr>
          <w:rFonts w:eastAsia="Times New Roman" w:cs="Times New Roman"/>
          <w:color w:val="auto"/>
          <w:kern w:val="0"/>
          <w:szCs w:val="24"/>
          <w:u w:val="single"/>
          <w:lang w:val="lt-LT" w:eastAsia="en-US" w:bidi="ar-SA"/>
        </w:rPr>
        <w:t>Tualeto konstrukcija</w:t>
      </w:r>
      <w:r>
        <w:rPr>
          <w:rFonts w:eastAsia="Times New Roman" w:cs="Times New Roman"/>
          <w:color w:val="auto"/>
          <w:kern w:val="0"/>
          <w:szCs w:val="24"/>
          <w:lang w:val="lt-LT" w:eastAsia="en-US" w:bidi="ar-SA"/>
        </w:rPr>
        <w:t xml:space="preserve"> yra gelžbetonio plokštės su apšiltinimu.</w:t>
      </w:r>
    </w:p>
    <w:p>
      <w:pPr>
        <w:pStyle w:val="Paprtekstas"/>
        <w:widowControl/>
        <w:suppressAutoHyphens w:val="true"/>
        <w:bidi w:val="0"/>
        <w:spacing w:lineRule="auto" w:line="276"/>
        <w:jc w:val="both"/>
        <w:rPr>
          <w:color w:val="auto"/>
        </w:rPr>
      </w:pPr>
      <w:r>
        <w:rPr>
          <w:rFonts w:eastAsia="Times New Roman" w:cs="Times New Roman"/>
          <w:color w:val="auto"/>
          <w:kern w:val="0"/>
          <w:szCs w:val="24"/>
          <w:lang w:val="lt-LT" w:eastAsia="en-US" w:bidi="ar-SA"/>
        </w:rPr>
        <w:t>Stogas yra 120mm storio iš kurio 30mm polistirolo lakštas. Vertikalios sienos yra 100 mm storio, iš kurių 20 mm polistirolo lakštas.Grindys yra 100 storio, iš kurių 20mm polistirolo lakštas iš išorės.</w:t>
      </w:r>
    </w:p>
    <w:p>
      <w:pPr>
        <w:pStyle w:val="Paprtekstas"/>
        <w:widowControl/>
        <w:suppressAutoHyphens w:val="true"/>
        <w:bidi w:val="0"/>
        <w:spacing w:lineRule="auto" w:line="276"/>
        <w:jc w:val="both"/>
        <w:rPr>
          <w:color w:val="auto"/>
        </w:rPr>
      </w:pPr>
      <w:r>
        <w:rPr>
          <w:rFonts w:eastAsia="Times New Roman" w:cs="Times New Roman"/>
          <w:i w:val="false"/>
          <w:iCs w:val="false"/>
          <w:color w:val="auto"/>
          <w:kern w:val="0"/>
          <w:szCs w:val="24"/>
          <w:u w:val="single"/>
          <w:lang w:val="lt-LT" w:eastAsia="en-US" w:bidi="ar-SA"/>
        </w:rPr>
        <w:t>Lietaus vanduo nuteka lietvamzdžiu.</w:t>
      </w:r>
      <w:r>
        <w:rPr>
          <w:rFonts w:eastAsia="Times New Roman" w:cs="Times New Roman"/>
          <w:color w:val="auto"/>
          <w:kern w:val="0"/>
          <w:szCs w:val="24"/>
          <w:lang w:val="lt-LT" w:eastAsia="en-US" w:bidi="ar-SA"/>
        </w:rPr>
        <w:t xml:space="preserve"> Lietvamzdis prijungtas prie bloko išleidimo sistemos, kuri yra techninės patalpos viduje; </w:t>
      </w:r>
    </w:p>
    <w:p>
      <w:pPr>
        <w:pStyle w:val="Normal"/>
        <w:spacing w:lineRule="auto" w:line="240"/>
        <w:jc w:val="both"/>
        <w:rPr>
          <w:color w:val="auto"/>
        </w:rPr>
      </w:pPr>
      <w:r>
        <w:rPr>
          <w:rFonts w:eastAsia="Times New Roman" w:cs="Times New Roman" w:ascii="Arial" w:hAnsi="Arial"/>
          <w:color w:val="auto"/>
          <w:kern w:val="0"/>
          <w:sz w:val="20"/>
          <w:szCs w:val="24"/>
          <w:u w:val="none"/>
          <w:lang w:val="lt-LT" w:eastAsia="en-US" w:bidi="ar-SA"/>
        </w:rPr>
        <w:tab/>
      </w:r>
      <w:r>
        <w:rPr>
          <w:rFonts w:eastAsia="Times New Roman" w:cs="Times New Roman" w:ascii="Arial" w:hAnsi="Arial"/>
          <w:color w:val="auto"/>
          <w:kern w:val="0"/>
          <w:sz w:val="20"/>
          <w:szCs w:val="24"/>
          <w:u w:val="single"/>
          <w:lang w:val="lt-LT" w:eastAsia="en-US" w:bidi="ar-SA"/>
        </w:rPr>
        <w:t>Stoglangio kupolas</w:t>
      </w:r>
      <w:r>
        <w:rPr>
          <w:rFonts w:eastAsia="Times New Roman" w:cs="Times New Roman" w:ascii="Arial" w:hAnsi="Arial"/>
          <w:color w:val="auto"/>
          <w:kern w:val="0"/>
          <w:sz w:val="20"/>
          <w:szCs w:val="24"/>
          <w:lang w:val="lt-LT" w:eastAsia="en-US" w:bidi="ar-SA"/>
        </w:rPr>
        <w:t xml:space="preserve"> 50 x 50 cm, pagamintas iš polikarbonato (PMMA), atsparus ugniai ir dūžiams , taip pat atlieka natūralų vėdinimą. Kupolas užtikrina dienos apšvietimą tualeto viduje. Jo forma ir dydžiai leidžia tinkamai derinti natūralų apšvietimą ir susilpnina mažos erdvės pojūtį vartotojui; </w:t>
      </w:r>
    </w:p>
    <w:p>
      <w:pPr>
        <w:pStyle w:val="Normal"/>
        <w:spacing w:lineRule="auto" w:line="240"/>
        <w:jc w:val="both"/>
        <w:rPr>
          <w:color w:val="auto"/>
        </w:rPr>
      </w:pPr>
      <w:r>
        <w:rPr>
          <w:rFonts w:ascii="Arial" w:hAnsi="Arial"/>
          <w:color w:val="auto"/>
          <w:sz w:val="20"/>
          <w:u w:val="none"/>
        </w:rPr>
        <w:tab/>
      </w:r>
      <w:r>
        <w:rPr>
          <w:rFonts w:ascii="Arial" w:hAnsi="Arial"/>
          <w:color w:val="auto"/>
          <w:sz w:val="20"/>
          <w:u w:val="single"/>
        </w:rPr>
        <w:t>Išorės apdaila</w:t>
      </w:r>
      <w:r>
        <w:rPr>
          <w:rFonts w:ascii="Arial" w:hAnsi="Arial"/>
          <w:color w:val="auto"/>
          <w:sz w:val="20"/>
        </w:rPr>
        <w:t xml:space="preserve"> – nerūdijančio plieno plokštės;</w:t>
      </w:r>
    </w:p>
    <w:p>
      <w:pPr>
        <w:pStyle w:val="Normal"/>
        <w:spacing w:lineRule="auto" w:line="240"/>
        <w:jc w:val="both"/>
        <w:rPr>
          <w:color w:val="auto"/>
        </w:rPr>
      </w:pPr>
      <w:r>
        <w:rPr>
          <w:rFonts w:ascii="Arial" w:hAnsi="Arial"/>
          <w:color w:val="auto"/>
          <w:sz w:val="20"/>
          <w:u w:val="none"/>
        </w:rPr>
        <w:tab/>
      </w:r>
      <w:r>
        <w:rPr>
          <w:rFonts w:ascii="Arial" w:hAnsi="Arial"/>
          <w:color w:val="auto"/>
          <w:sz w:val="20"/>
          <w:u w:val="single"/>
        </w:rPr>
        <w:t>Vidaus sienos</w:t>
      </w:r>
      <w:r>
        <w:rPr>
          <w:rFonts w:ascii="Arial" w:hAnsi="Arial"/>
          <w:color w:val="auto"/>
          <w:sz w:val="20"/>
        </w:rPr>
        <w:t xml:space="preserve"> – išklotos didelėmis, atspariomis ugniai ir antigrafitinio paviršiaus 90x90 cm dramblio kaulo spalvos plytelėmis. Siūlių sujungimas ne didesnės nei 2 mm.</w:t>
      </w:r>
    </w:p>
    <w:p>
      <w:pPr>
        <w:pStyle w:val="Normal"/>
        <w:spacing w:lineRule="auto" w:line="240"/>
        <w:jc w:val="both"/>
        <w:rPr>
          <w:color w:val="auto"/>
        </w:rPr>
      </w:pPr>
      <w:r>
        <w:rPr>
          <w:rFonts w:ascii="Arial" w:hAnsi="Arial"/>
          <w:color w:val="auto"/>
          <w:sz w:val="20"/>
          <w:u w:val="none"/>
        </w:rPr>
        <w:tab/>
      </w:r>
      <w:r>
        <w:rPr>
          <w:rFonts w:ascii="Arial" w:hAnsi="Arial"/>
          <w:color w:val="auto"/>
          <w:sz w:val="20"/>
          <w:u w:val="single"/>
        </w:rPr>
        <w:t>Grindys</w:t>
      </w:r>
      <w:r>
        <w:rPr>
          <w:rFonts w:ascii="Arial" w:hAnsi="Arial"/>
          <w:color w:val="auto"/>
          <w:sz w:val="20"/>
        </w:rPr>
        <w:t xml:space="preserve"> – Aliumino grindys nereikalauja periodinės priežiūros ir yra visiškai  saugios ir atsparios vandalizmui.</w:t>
      </w:r>
    </w:p>
    <w:p>
      <w:pPr>
        <w:pStyle w:val="Normal"/>
        <w:spacing w:lineRule="auto" w:line="240"/>
        <w:jc w:val="both"/>
        <w:rPr>
          <w:color w:val="auto"/>
        </w:rPr>
      </w:pPr>
      <w:r>
        <w:rPr>
          <w:rFonts w:ascii="Arial" w:hAnsi="Arial"/>
          <w:color w:val="auto"/>
          <w:sz w:val="20"/>
        </w:rPr>
        <w:tab/>
      </w:r>
      <w:r>
        <w:rPr>
          <w:rFonts w:ascii="Arial" w:hAnsi="Arial"/>
          <w:color w:val="auto"/>
          <w:sz w:val="20"/>
          <w:u w:val="single"/>
        </w:rPr>
        <w:t>Nerūdijančio plieno plokštė virš durų</w:t>
      </w:r>
      <w:r>
        <w:rPr>
          <w:rFonts w:ascii="Arial" w:hAnsi="Arial"/>
          <w:color w:val="auto"/>
          <w:sz w:val="20"/>
        </w:rPr>
        <w:t>, su LED apšviestomis piktogramomis, nurodančiomis tualeto būseną (žalia šviesa: laisva – raudona šviesa: užimta).</w:t>
      </w:r>
    </w:p>
    <w:p>
      <w:pPr>
        <w:pStyle w:val="Normal"/>
        <w:spacing w:lineRule="auto" w:line="240"/>
        <w:jc w:val="both"/>
        <w:rPr>
          <w:color w:val="auto"/>
        </w:rPr>
      </w:pPr>
      <w:r>
        <w:rPr>
          <w:rFonts w:ascii="Arial" w:hAnsi="Arial"/>
          <w:color w:val="auto"/>
          <w:sz w:val="20"/>
        </w:rPr>
        <w:tab/>
        <w:t xml:space="preserve">Pagrindinės durys slankiojančios automatinės, arba mechaniškai atveriamos aliuminio durys su pritraukėjais ir elektromagnetine spyna kuri neleidžia atidaryti durų kaip tualetas plaunasi, arba neapmokėtas ( jeigu taikomas mokėjimo sistema). </w:t>
      </w:r>
    </w:p>
    <w:p>
      <w:pPr>
        <w:pStyle w:val="Normal"/>
        <w:spacing w:lineRule="auto" w:line="240"/>
        <w:jc w:val="both"/>
        <w:rPr>
          <w:color w:val="auto"/>
        </w:rPr>
      </w:pPr>
      <w:r>
        <w:rPr>
          <w:rFonts w:ascii="Arial" w:hAnsi="Arial"/>
          <w:color w:val="auto"/>
          <w:sz w:val="20"/>
        </w:rPr>
        <w:tab/>
        <w:t>Įėjimo į technines patalpas durys, su „Yale“ apsaugos spyna. Spalvos derinamos su užsakovu.</w:t>
      </w:r>
    </w:p>
    <w:p>
      <w:pPr>
        <w:pStyle w:val="Normal"/>
        <w:spacing w:lineRule="auto" w:line="240"/>
        <w:jc w:val="both"/>
        <w:rPr>
          <w:color w:val="auto"/>
        </w:rPr>
      </w:pPr>
      <w:r>
        <w:rPr>
          <w:rFonts w:ascii="Arial" w:hAnsi="Arial"/>
          <w:b w:val="false"/>
          <w:bCs w:val="false"/>
          <w:i/>
          <w:iCs/>
          <w:color w:val="auto"/>
          <w:sz w:val="20"/>
          <w:u w:val="single"/>
        </w:rPr>
        <w:t>Tualeto parametrai:</w:t>
      </w:r>
    </w:p>
    <w:p>
      <w:pPr>
        <w:pStyle w:val="Normal"/>
        <w:numPr>
          <w:ilvl w:val="0"/>
          <w:numId w:val="1"/>
        </w:numPr>
        <w:spacing w:lineRule="auto" w:line="240"/>
        <w:jc w:val="both"/>
        <w:rPr>
          <w:color w:val="auto"/>
        </w:rPr>
      </w:pPr>
      <w:r>
        <w:rPr>
          <w:rFonts w:ascii="Arial" w:hAnsi="Arial"/>
          <w:color w:val="auto"/>
          <w:sz w:val="20"/>
        </w:rPr>
        <w:t xml:space="preserve">Pakabinamas nerūdijančio plieno klozetas su EASYTECH® nerūdijančio plieno prietaisu sėdimojo paviršiaus plovimui / džiovinimui. </w:t>
      </w:r>
    </w:p>
    <w:p>
      <w:pPr>
        <w:pStyle w:val="Normal"/>
        <w:numPr>
          <w:ilvl w:val="0"/>
          <w:numId w:val="1"/>
        </w:numPr>
        <w:spacing w:lineRule="auto" w:line="240"/>
        <w:jc w:val="both"/>
        <w:rPr>
          <w:color w:val="auto"/>
        </w:rPr>
      </w:pPr>
      <w:r>
        <w:rPr>
          <w:rFonts w:ascii="Arial" w:hAnsi="Arial"/>
          <w:color w:val="auto"/>
          <w:sz w:val="20"/>
        </w:rPr>
        <w:t>Nerūdijančio plieno rankenos, nerūdijančio plieno vystimo stalas.</w:t>
      </w:r>
    </w:p>
    <w:p>
      <w:pPr>
        <w:pStyle w:val="Normal"/>
        <w:numPr>
          <w:ilvl w:val="0"/>
          <w:numId w:val="1"/>
        </w:numPr>
        <w:spacing w:lineRule="auto" w:line="240"/>
        <w:jc w:val="both"/>
        <w:rPr>
          <w:color w:val="auto"/>
        </w:rPr>
      </w:pPr>
      <w:r>
        <w:rPr>
          <w:rFonts w:ascii="Arial" w:hAnsi="Arial"/>
          <w:color w:val="auto"/>
          <w:sz w:val="20"/>
        </w:rPr>
        <w:t xml:space="preserve">Integruotas nerūdijančio plieno praustuvas su automatiniu bekontakčiu vandens, muilo ir karšto oro dozatoriumi, valdomas infraraudonųjų spindulių jutikliais ir mikroprocesoriumi, reaguojančiu į vartotojo ranką. Apatinė praustuvo dalis yra visiškai pritaikyta neįgaliųjų vežimėliams. </w:t>
      </w:r>
    </w:p>
    <w:p>
      <w:pPr>
        <w:pStyle w:val="Normal"/>
        <w:numPr>
          <w:ilvl w:val="0"/>
          <w:numId w:val="1"/>
        </w:numPr>
        <w:spacing w:lineRule="auto" w:line="240"/>
        <w:jc w:val="both"/>
        <w:rPr>
          <w:color w:val="auto"/>
        </w:rPr>
      </w:pPr>
      <w:r>
        <w:rPr>
          <w:rFonts w:ascii="Arial" w:hAnsi="Arial"/>
          <w:color w:val="auto"/>
          <w:sz w:val="20"/>
        </w:rPr>
        <w:t xml:space="preserve">Nedūžtantis nerūdijančio plieno veidrodis, drabužių kabliukai, turėklai. </w:t>
      </w:r>
    </w:p>
    <w:p>
      <w:pPr>
        <w:pStyle w:val="Normal"/>
        <w:numPr>
          <w:ilvl w:val="0"/>
          <w:numId w:val="1"/>
        </w:numPr>
        <w:spacing w:lineRule="auto" w:line="240"/>
        <w:jc w:val="both"/>
        <w:rPr>
          <w:color w:val="auto"/>
        </w:rPr>
      </w:pPr>
      <w:r>
        <w:rPr>
          <w:rFonts w:ascii="Arial" w:hAnsi="Arial"/>
          <w:color w:val="auto"/>
          <w:sz w:val="20"/>
        </w:rPr>
        <w:t xml:space="preserve">Integruotas automatinis tualetinio popieriaus dozatorius, su nuotoliniu jutikliu, atsparus vandalų išpuoliams. </w:t>
      </w:r>
    </w:p>
    <w:p>
      <w:pPr>
        <w:pStyle w:val="Normal"/>
        <w:numPr>
          <w:ilvl w:val="0"/>
          <w:numId w:val="1"/>
        </w:numPr>
        <w:spacing w:lineRule="auto" w:line="240"/>
        <w:jc w:val="both"/>
        <w:rPr>
          <w:color w:val="auto"/>
        </w:rPr>
      </w:pPr>
      <w:r>
        <w:rPr>
          <w:rFonts w:ascii="Arial" w:hAnsi="Arial"/>
          <w:color w:val="auto"/>
          <w:sz w:val="20"/>
        </w:rPr>
        <w:t>Automatinis, vandalų išpuoliams atsparus, energiją taupantis LED vidaus apšvietimas. Apšvietimas automatiškai įsijungia atidarius duris ir išsijungia vartotojui išėjus.</w:t>
      </w:r>
    </w:p>
    <w:p>
      <w:pPr>
        <w:pStyle w:val="Normal"/>
        <w:numPr>
          <w:ilvl w:val="0"/>
          <w:numId w:val="1"/>
        </w:numPr>
        <w:spacing w:lineRule="auto" w:line="240"/>
        <w:jc w:val="both"/>
        <w:rPr>
          <w:color w:val="auto"/>
        </w:rPr>
      </w:pPr>
      <w:r>
        <w:rPr>
          <w:rFonts w:ascii="Arial" w:hAnsi="Arial"/>
          <w:color w:val="auto"/>
          <w:sz w:val="20"/>
        </w:rPr>
        <w:t>LED avarinis mygtukas, atrakinantis duris ir įjungiantis optinį ir garsinį avarinius signalus.</w:t>
      </w:r>
    </w:p>
    <w:p>
      <w:pPr>
        <w:pStyle w:val="Normal"/>
        <w:numPr>
          <w:ilvl w:val="0"/>
          <w:numId w:val="1"/>
        </w:numPr>
        <w:spacing w:lineRule="auto" w:line="240"/>
        <w:jc w:val="both"/>
        <w:rPr>
          <w:color w:val="auto"/>
        </w:rPr>
      </w:pPr>
      <w:r>
        <w:rPr>
          <w:rFonts w:ascii="Arial" w:hAnsi="Arial"/>
          <w:color w:val="auto"/>
          <w:sz w:val="20"/>
        </w:rPr>
        <w:t>Papildomas šildymas tualeto kambaryje su  2 400W infraraudonųjų spindulių skydeliu sumontuotu ant lubų.</w:t>
      </w:r>
    </w:p>
    <w:p>
      <w:pPr>
        <w:pStyle w:val="Normal"/>
        <w:numPr>
          <w:ilvl w:val="0"/>
          <w:numId w:val="1"/>
        </w:numPr>
        <w:spacing w:lineRule="auto" w:line="240"/>
        <w:jc w:val="both"/>
        <w:rPr>
          <w:color w:val="auto"/>
        </w:rPr>
      </w:pPr>
      <w:r>
        <w:rPr>
          <w:rFonts w:ascii="Arial" w:hAnsi="Arial"/>
          <w:color w:val="auto"/>
          <w:sz w:val="20"/>
        </w:rPr>
        <w:t>Jokių aštrių briaunų ar sujungimų bet kuriame tualeto paviršiuje.</w:t>
      </w:r>
    </w:p>
    <w:p>
      <w:pPr>
        <w:pStyle w:val="Normal"/>
        <w:spacing w:lineRule="auto" w:line="240"/>
        <w:jc w:val="both"/>
        <w:rPr>
          <w:color w:val="auto"/>
        </w:rPr>
      </w:pPr>
      <w:r>
        <w:rPr>
          <w:rFonts w:ascii="Arial" w:hAnsi="Arial"/>
          <w:b w:val="false"/>
          <w:bCs w:val="false"/>
          <w:i/>
          <w:iCs/>
          <w:color w:val="auto"/>
          <w:sz w:val="20"/>
          <w:u w:val="single"/>
        </w:rPr>
        <w:t>Priedai:</w:t>
      </w:r>
    </w:p>
    <w:p>
      <w:pPr>
        <w:pStyle w:val="Normal"/>
        <w:numPr>
          <w:ilvl w:val="0"/>
          <w:numId w:val="1"/>
        </w:numPr>
        <w:spacing w:lineRule="auto" w:line="240"/>
        <w:jc w:val="both"/>
        <w:rPr>
          <w:color w:val="auto"/>
        </w:rPr>
      </w:pPr>
      <w:r>
        <w:rPr>
          <w:rFonts w:ascii="Arial" w:hAnsi="Arial"/>
          <w:color w:val="auto"/>
          <w:sz w:val="20"/>
        </w:rPr>
        <w:t xml:space="preserve">Vandalų išpuoliams atsparus lauko signalinis skydelis su raudona / žalia lemputėmis, rodančiomis tualeto būseną. </w:t>
      </w:r>
    </w:p>
    <w:p>
      <w:pPr>
        <w:pStyle w:val="Normal"/>
        <w:numPr>
          <w:ilvl w:val="0"/>
          <w:numId w:val="1"/>
        </w:numPr>
        <w:spacing w:lineRule="auto" w:line="240"/>
        <w:jc w:val="both"/>
        <w:rPr>
          <w:color w:val="auto"/>
        </w:rPr>
      </w:pPr>
      <w:r>
        <w:rPr>
          <w:rFonts w:ascii="Arial" w:hAnsi="Arial"/>
          <w:color w:val="auto"/>
          <w:sz w:val="20"/>
        </w:rPr>
        <w:t>Vartotojo buvimo tualete aptikimas atliekamas specialiais infraraudonųjų spindulių jutikliais kurie yra su apsauga nuo vandalų.</w:t>
      </w:r>
    </w:p>
    <w:p>
      <w:pPr>
        <w:pStyle w:val="Normal"/>
        <w:numPr>
          <w:ilvl w:val="0"/>
          <w:numId w:val="1"/>
        </w:numPr>
        <w:spacing w:lineRule="auto" w:line="240"/>
        <w:jc w:val="both"/>
        <w:rPr>
          <w:color w:val="auto"/>
        </w:rPr>
      </w:pPr>
      <w:r>
        <w:rPr>
          <w:rFonts w:ascii="Arial" w:hAnsi="Arial"/>
          <w:color w:val="auto"/>
          <w:sz w:val="20"/>
        </w:rPr>
        <w:t>Vandalams atsparus išorinis nerūdijančio plieno signalinis skydelis su raudona / žalia tualeto būsenos indikacija.</w:t>
      </w:r>
    </w:p>
    <w:p>
      <w:pPr>
        <w:pStyle w:val="Normal"/>
        <w:spacing w:lineRule="auto" w:line="240"/>
        <w:jc w:val="both"/>
        <w:rPr>
          <w:color w:val="auto"/>
        </w:rPr>
      </w:pPr>
      <w:r>
        <w:rPr>
          <w:rFonts w:ascii="Arial" w:hAnsi="Arial"/>
          <w:b w:val="false"/>
          <w:bCs w:val="false"/>
          <w:i/>
          <w:iCs/>
          <w:color w:val="auto"/>
          <w:sz w:val="20"/>
          <w:u w:val="none"/>
        </w:rPr>
        <w:tab/>
      </w:r>
      <w:r>
        <w:rPr>
          <w:rFonts w:ascii="Arial" w:hAnsi="Arial"/>
          <w:b w:val="false"/>
          <w:bCs w:val="false"/>
          <w:i/>
          <w:iCs/>
          <w:color w:val="auto"/>
          <w:sz w:val="20"/>
          <w:u w:val="single"/>
        </w:rPr>
        <w:t>Automatinė plovimo sistema.</w:t>
      </w:r>
      <w:r>
        <w:rPr>
          <w:rFonts w:eastAsia="Times New Roman" w:cs="Times New Roman" w:ascii="Arial" w:hAnsi="Arial"/>
          <w:color w:val="auto"/>
          <w:kern w:val="0"/>
          <w:sz w:val="20"/>
          <w:szCs w:val="24"/>
          <w:lang w:val="lt-LT" w:eastAsia="en-US" w:bidi="ar-SA"/>
        </w:rPr>
        <w:t xml:space="preserve"> EASYTECH® nerūdijančio plieno  įrenginys, skirtas tualeto dubeniui plauti  dezinfekuoti ir automatiškai išdžiovinti  paviršių. </w:t>
      </w:r>
    </w:p>
    <w:p>
      <w:pPr>
        <w:pStyle w:val="Default"/>
        <w:jc w:val="both"/>
        <w:rPr>
          <w:color w:val="auto"/>
        </w:rPr>
      </w:pPr>
      <w:r>
        <w:rPr>
          <w:rFonts w:eastAsia="Times New Roman" w:cs="Times New Roman"/>
          <w:color w:val="auto"/>
          <w:kern w:val="0"/>
          <w:sz w:val="20"/>
          <w:szCs w:val="24"/>
          <w:lang w:val="lt-LT" w:eastAsia="en-US" w:bidi="ar-SA"/>
        </w:rPr>
        <w:tab/>
        <w:t xml:space="preserve">Automatinis grindų plovimo įrenginys, naudojant antgalius, kurie tiekia aukšto slėgio vandens purškimą. Plovimo procesas prasideda, kai vartotojas yra įšėjes iš tualeto. </w:t>
      </w:r>
    </w:p>
    <w:p>
      <w:pPr>
        <w:pStyle w:val="Default"/>
        <w:jc w:val="both"/>
        <w:rPr>
          <w:color w:val="auto"/>
        </w:rPr>
      </w:pPr>
      <w:r>
        <w:rPr>
          <w:rFonts w:cs="Times New Roman"/>
          <w:color w:val="auto"/>
          <w:sz w:val="20"/>
          <w:lang w:val="lt-LT"/>
        </w:rPr>
        <w:tab/>
        <w:t>Vandens sistema su „bevandeniu“ valdymu ir 80 litrų talpos baku, pagamintu iš antikondensacinio polietileno, leidžiančiu naudotis tualetu, net esant mažesniam nei 1,5 atm slėgiui tinkle. Išcentrinis siurblys, nerūdijančio plieno, 10 barų, skirtas visoms aukšto slėgio, mažai suvartojančioms plovimo operacijoms. Dezinfekavimo priemonės bakas su „minimalaus lygio“ kontrole ir dozavimo pompa.</w:t>
      </w:r>
    </w:p>
    <w:p>
      <w:pPr>
        <w:pStyle w:val="Default"/>
        <w:jc w:val="both"/>
        <w:rPr>
          <w:color w:val="auto"/>
        </w:rPr>
      </w:pPr>
      <w:r>
        <w:rPr>
          <w:rFonts w:cs="Times New Roman"/>
          <w:color w:val="auto"/>
          <w:sz w:val="20"/>
          <w:lang w:val="lt-LT"/>
        </w:rPr>
        <w:tab/>
        <w:t xml:space="preserve">Automatinis grindų valymo įrenginys, naudojantis purkštukus, tiekiančiais aukšto slėgio vandens purškimą. Automatiškai paleidžiamas natūralus ir priverstinis vėdinimas, skirtas oro mainams vartotojo patalpose. Vartotojo buvimo tualete aptikimas infraraudonųjų spindulių jutikliu (jutiklis aspaugotas nuo vandalų išpuolių). Vieneto laiko ribotuvas su automatiniu durų atleidimu pasibaigus laikui po paskutinių trijų minučių optinio / garsinio signalo. </w:t>
      </w:r>
    </w:p>
    <w:p>
      <w:pPr>
        <w:pStyle w:val="Normal"/>
        <w:spacing w:lineRule="auto" w:line="240"/>
        <w:jc w:val="both"/>
        <w:rPr>
          <w:color w:val="auto"/>
        </w:rPr>
      </w:pPr>
      <w:r>
        <w:rPr>
          <w:rFonts w:ascii="Arial" w:hAnsi="Arial"/>
          <w:b w:val="false"/>
          <w:bCs w:val="false"/>
          <w:i/>
          <w:iCs/>
          <w:color w:val="auto"/>
          <w:sz w:val="20"/>
          <w:u w:val="none"/>
        </w:rPr>
        <w:tab/>
      </w:r>
      <w:r>
        <w:rPr>
          <w:rFonts w:ascii="Arial" w:hAnsi="Arial"/>
          <w:b w:val="false"/>
          <w:bCs w:val="false"/>
          <w:i/>
          <w:iCs/>
          <w:color w:val="auto"/>
          <w:sz w:val="20"/>
          <w:u w:val="single"/>
        </w:rPr>
        <w:t xml:space="preserve">Automatinė plovimo sistema. džiovinimas ir dezinfekcija: </w:t>
      </w:r>
    </w:p>
    <w:p>
      <w:pPr>
        <w:pStyle w:val="Normal"/>
        <w:numPr>
          <w:ilvl w:val="0"/>
          <w:numId w:val="1"/>
        </w:numPr>
        <w:spacing w:lineRule="auto" w:line="240"/>
        <w:jc w:val="both"/>
        <w:rPr>
          <w:color w:val="auto"/>
        </w:rPr>
      </w:pPr>
      <w:r>
        <w:rPr>
          <w:rFonts w:ascii="Arial" w:hAnsi="Arial"/>
          <w:color w:val="auto"/>
          <w:sz w:val="20"/>
        </w:rPr>
        <w:t xml:space="preserve">Vidinio tualeto klozeto paviršiaus plovimas naudojimo metu, su </w:t>
      </w:r>
      <w:r>
        <w:rPr>
          <w:rFonts w:ascii="Arial" w:hAnsi="Arial"/>
          <w:i/>
          <w:iCs/>
          <w:color w:val="auto"/>
          <w:sz w:val="20"/>
        </w:rPr>
        <w:t>micro-flush</w:t>
      </w:r>
      <w:r>
        <w:rPr>
          <w:rFonts w:ascii="Arial" w:hAnsi="Arial"/>
          <w:color w:val="auto"/>
          <w:sz w:val="20"/>
        </w:rPr>
        <w:t xml:space="preserve"> danga;</w:t>
      </w:r>
    </w:p>
    <w:p>
      <w:pPr>
        <w:pStyle w:val="Normal"/>
        <w:numPr>
          <w:ilvl w:val="0"/>
          <w:numId w:val="1"/>
        </w:numPr>
        <w:spacing w:lineRule="auto" w:line="240"/>
        <w:jc w:val="both"/>
        <w:rPr>
          <w:color w:val="auto"/>
        </w:rPr>
      </w:pPr>
      <w:r>
        <w:rPr>
          <w:rFonts w:ascii="Arial" w:hAnsi="Arial"/>
          <w:color w:val="auto"/>
          <w:sz w:val="20"/>
        </w:rPr>
        <w:t>Klozeto vidaus ir išorės paviršių plovimas su vandalų išpuoliams atspariu nerūdijančio plieno prietaisu EASYTECH®, skirtu sėdimojo paviršiaus plovimui ir džiovinimui;</w:t>
      </w:r>
    </w:p>
    <w:p>
      <w:pPr>
        <w:pStyle w:val="Normal"/>
        <w:numPr>
          <w:ilvl w:val="0"/>
          <w:numId w:val="1"/>
        </w:numPr>
        <w:spacing w:lineRule="auto" w:line="240"/>
        <w:jc w:val="both"/>
        <w:rPr>
          <w:color w:val="auto"/>
        </w:rPr>
      </w:pPr>
      <w:r>
        <w:rPr>
          <w:rFonts w:ascii="Arial" w:hAnsi="Arial"/>
          <w:color w:val="auto"/>
          <w:sz w:val="20"/>
        </w:rPr>
        <w:t>Tualeto sienelių virš dubens (maks. 0,8 cm) valymas ir dezinfekavimas;</w:t>
      </w:r>
    </w:p>
    <w:p>
      <w:pPr>
        <w:pStyle w:val="Normal"/>
        <w:numPr>
          <w:ilvl w:val="0"/>
          <w:numId w:val="1"/>
        </w:numPr>
        <w:spacing w:lineRule="auto" w:line="240"/>
        <w:jc w:val="both"/>
        <w:rPr>
          <w:color w:val="auto"/>
        </w:rPr>
      </w:pPr>
      <w:r>
        <w:rPr>
          <w:rFonts w:ascii="Arial" w:hAnsi="Arial"/>
          <w:color w:val="auto"/>
          <w:sz w:val="20"/>
        </w:rPr>
        <w:t>Grindų plovimas ir dezinfekavimas aukšto slėgio purkštukais, purškiančiais vandenį ir dezinfekavimo priemonę; atliekos surenkamos į specialią paslėptą, vartotojams nematomą, talpyklą;</w:t>
      </w:r>
    </w:p>
    <w:p>
      <w:pPr>
        <w:pStyle w:val="Normal"/>
        <w:numPr>
          <w:ilvl w:val="0"/>
          <w:numId w:val="1"/>
        </w:numPr>
        <w:spacing w:lineRule="auto" w:line="240"/>
        <w:jc w:val="both"/>
        <w:rPr>
          <w:color w:val="auto"/>
        </w:rPr>
      </w:pPr>
      <w:r>
        <w:rPr>
          <w:rFonts w:ascii="Arial" w:hAnsi="Arial"/>
          <w:color w:val="auto"/>
          <w:sz w:val="20"/>
        </w:rPr>
        <w:t>Visas plovimo ciklas mažiau nei 30 sekundžių.</w:t>
      </w:r>
    </w:p>
    <w:p>
      <w:pPr>
        <w:pStyle w:val="Normal"/>
        <w:spacing w:lineRule="auto" w:line="240"/>
        <w:jc w:val="both"/>
        <w:rPr>
          <w:color w:val="auto"/>
        </w:rPr>
      </w:pPr>
      <w:r>
        <w:rPr>
          <w:rFonts w:ascii="Arial" w:hAnsi="Arial"/>
          <w:color w:val="auto"/>
          <w:sz w:val="20"/>
        </w:rPr>
        <w:tab/>
        <w:t>WC stacionareme gaminyje numatomi 3 unitažai, 3 praustuvai ir vienas pisuaras, numatoma ir visa reikiama kita smulkesnė įranga – servetėlių ir wc popieriaus laikikliai, valymo šepečiai, šiukšliadėžės ir kt. Numatomi neįgaliųjų wc, vyrų ir moterų.</w:t>
      </w:r>
    </w:p>
    <w:p>
      <w:pPr>
        <w:pStyle w:val="Paprtekstas"/>
        <w:widowControl/>
        <w:suppressAutoHyphens w:val="true"/>
        <w:bidi w:val="0"/>
        <w:spacing w:lineRule="auto" w:line="276"/>
        <w:rPr>
          <w:rFonts w:eastAsia="Times New Roman" w:cs="Times New Roman"/>
          <w:b/>
          <w:bCs/>
          <w:color w:val="auto"/>
          <w:kern w:val="0"/>
          <w:sz w:val="22"/>
          <w:szCs w:val="22"/>
          <w:lang w:val="lt-LT" w:eastAsia="en-US" w:bidi="ar-SA"/>
        </w:rPr>
      </w:pPr>
      <w:r>
        <w:rPr>
          <w:rFonts w:eastAsia="Times New Roman" w:cs="Times New Roman"/>
          <w:b/>
          <w:bCs/>
          <w:color w:val="auto"/>
          <w:kern w:val="0"/>
          <w:sz w:val="22"/>
          <w:szCs w:val="22"/>
          <w:lang w:val="lt-LT" w:eastAsia="en-US" w:bidi="ar-SA"/>
        </w:rPr>
        <w:t>4.10. Pusiau požeminių šiukšlių konteinerių įrengimas</w:t>
      </w:r>
    </w:p>
    <w:p>
      <w:pPr>
        <w:pStyle w:val="Paprtekstas"/>
        <w:widowControl/>
        <w:suppressAutoHyphens w:val="true"/>
        <w:bidi w:val="0"/>
        <w:spacing w:lineRule="auto" w:line="276"/>
        <w:jc w:val="both"/>
        <w:rPr/>
      </w:pPr>
      <w:r>
        <w:rPr>
          <w:rFonts w:eastAsia="Times New Roman" w:cs="Times New Roman"/>
          <w:b/>
          <w:bCs/>
          <w:caps w:val="false"/>
          <w:smallCaps w:val="false"/>
          <w:color w:val="444444"/>
          <w:spacing w:val="0"/>
          <w:kern w:val="0"/>
          <w:sz w:val="22"/>
          <w:szCs w:val="22"/>
          <w:lang w:val="lt-LT" w:eastAsia="en-US" w:bidi="ar-SA"/>
        </w:rPr>
        <w:t> </w:t>
      </w:r>
      <w:r>
        <w:rPr>
          <w:rFonts w:eastAsia="Times New Roman" w:cs="Times New Roman"/>
          <w:color w:val="auto"/>
          <w:kern w:val="0"/>
          <w:sz w:val="20"/>
          <w:szCs w:val="24"/>
          <w:lang w:val="lt-LT" w:eastAsia="en-US" w:bidi="ar-SA"/>
        </w:rPr>
        <w:t>Kvadratiniai pusiau požeminiai konteineriai numatomi su armuota betoninę kapsule. Šiukšlių šalinimo mechanizmas yra standartinis. Už viršutiniama dangtyje esančios kilpos užkabinamas ir pakeliamas maišas su viršutiniu dangčiu. Šiūkšlės pašalinamos patraukus virvę. Pusiau po žeme esantys konteineriai atitinka šių standartų reikalavimus:</w:t>
        <w:br/>
        <w:t xml:space="preserve"> * PN-EN 13071-1:2019-11 (EN 13071-1:2019) "Iš apačios tuščinami atliekų konteineriai iki 5000 ltalpos. 1 dalis: Bendrieji reikalavimai"</w:t>
        <w:br/>
        <w:t xml:space="preserve"> * PN-EN 13071-2:2019-11 (EN 13071-2:2019) "Iš apačios tuščinami atliekų konteineriai iki 5000 l talpos. 2 dalis: Papildomi reikalavimai sistemoms, įmontuotoms į žemę arba dalinai įmontuotoms į žemę"</w:t>
        <w:br/>
        <w:t xml:space="preserve"> * PN-EN 13071-3:2020-01 (EN 13071-3:2019) "Iš apačios tuščinami atliekų konteineriai iki 5000 l talpos. 3 dalis: Rekomenduojami kėlimo ryšiai"</w:t>
        <w:br/>
        <w:t xml:space="preserve"> * Jie turi PZH sertifikatą, o gamintojas turi aplinkos ir kokybės sertifikatus, taip pat ISO 9001 ir ISO 14001 vadybos sistemas. </w:t>
      </w:r>
    </w:p>
    <w:p>
      <w:pPr>
        <w:pStyle w:val="Default"/>
        <w:jc w:val="both"/>
        <w:rPr>
          <w:rFonts w:cs="Times New Roman"/>
          <w:color w:val="auto"/>
          <w:sz w:val="20"/>
          <w:lang w:val="lt-LT"/>
        </w:rPr>
      </w:pPr>
      <w:r>
        <w:rPr>
          <w:rFonts w:cs="Times New Roman"/>
          <w:color w:val="auto"/>
          <w:sz w:val="20"/>
          <w:lang w:val="lt-LT"/>
        </w:rPr>
        <w:tab/>
        <w:t>Pusiau požeminiai konteineriai kurie yra 5 m3 talpos, turi galimybe padalinti vidinę talpą į dvi ar tris atliekų frakcijas. Dalijimosi variantai yra: 2 x 1/2 arba 2/3 + 1/3 arba 3 x 1/3 . Galimybė jungti ir konfigūruoti atskirus modulius (korpusus) bet kuriuo būdu pagal Užsakovui reikiamus poreikius (eilė, "L" forma, dviguba eilė...)</w:t>
      </w:r>
    </w:p>
    <w:p>
      <w:pPr>
        <w:pStyle w:val="Default"/>
        <w:jc w:val="both"/>
        <w:rPr>
          <w:rFonts w:cs="Times New Roman"/>
          <w:color w:val="auto"/>
          <w:sz w:val="20"/>
          <w:lang w:val="lt-LT"/>
        </w:rPr>
      </w:pPr>
      <w:r>
        <w:rPr>
          <w:rFonts w:cs="Times New Roman"/>
          <w:color w:val="auto"/>
          <w:sz w:val="20"/>
          <w:lang w:val="lt-LT"/>
        </w:rPr>
        <w:tab/>
        <w:t>Konteinerio kūnas (šulinys) yra pagamintas kaip monolitas iš armuoto, vandeniui atsparaus, rūgščiai atsparaus betono klasės C 35/45, su vandeniui atsparumo koeficientu W8, armavimo plieno BSt500. Betoninio šulinio matmenys: 1665 x 1665 x 2270 mm. Konteinerio kūnas (šulinys) yra pagamintas kaip monolitas iš aukštos kokybės DOWLEX 2629 polietileno. Korpuso vidiniai matmenys: 1680 x 1680 x 2400 mm.</w:t>
      </w:r>
    </w:p>
    <w:p>
      <w:pPr>
        <w:pStyle w:val="Default"/>
        <w:jc w:val="both"/>
        <w:rPr>
          <w:rFonts w:cs="Times New Roman"/>
          <w:color w:val="auto"/>
          <w:sz w:val="20"/>
          <w:lang w:val="lt-LT"/>
        </w:rPr>
      </w:pPr>
      <w:r>
        <w:rPr>
          <w:rFonts w:cs="Times New Roman"/>
          <w:color w:val="auto"/>
          <w:sz w:val="20"/>
          <w:lang w:val="lt-LT"/>
        </w:rPr>
        <w:tab/>
        <w:t>Kvadratinių, pusiau požeminių konteinerių maišai pritaikyti  pagal atliekų rūšį. (dviejų sluoksnių mišrioms atliekoms, plastikui ir popieriui, arba  su papildomu PVC apsauginiu sluoksniu stiklui). Konteinerių maišai yra tvirtinami prie cinkuoto plieno (S235) rėmų. - Maišai yra užfiksuoti visame savo perimetre prie metalinio rėmo, įtempdami į rėmo profilį, užtikrinant didesnį stiprumą ir lengvą keitimą. </w:t>
      </w:r>
    </w:p>
    <w:p>
      <w:pPr>
        <w:pStyle w:val="Default"/>
        <w:jc w:val="both"/>
        <w:rPr>
          <w:rFonts w:cs="Times New Roman"/>
          <w:color w:val="auto"/>
          <w:sz w:val="20"/>
          <w:lang w:val="lt-LT"/>
        </w:rPr>
      </w:pPr>
      <w:r>
        <w:rPr>
          <w:rFonts w:cs="Times New Roman"/>
          <w:color w:val="auto"/>
          <w:sz w:val="20"/>
          <w:lang w:val="lt-LT"/>
        </w:rPr>
        <w:tab/>
        <w:t>Numatomas mišrių komunalinių atliekų konteineris (5 m</w:t>
      </w:r>
      <w:r>
        <w:rPr>
          <w:rFonts w:cs="Times New Roman"/>
          <w:color w:val="auto"/>
          <w:sz w:val="20"/>
          <w:vertAlign w:val="superscript"/>
          <w:lang w:val="lt-LT"/>
        </w:rPr>
        <w:t>3</w:t>
      </w:r>
      <w:r>
        <w:rPr>
          <w:rFonts w:cs="Times New Roman"/>
          <w:color w:val="auto"/>
          <w:position w:val="0"/>
          <w:sz w:val="20"/>
          <w:sz w:val="20"/>
          <w:vertAlign w:val="baseline"/>
          <w:lang w:val="lt-LT"/>
        </w:rPr>
        <w:t>)</w:t>
      </w:r>
      <w:r>
        <w:rPr>
          <w:rFonts w:cs="Times New Roman"/>
          <w:color w:val="auto"/>
          <w:sz w:val="20"/>
          <w:lang w:val="lt-LT"/>
        </w:rPr>
        <w:t>, plastiko konteineris (5 m</w:t>
      </w:r>
      <w:r>
        <w:rPr>
          <w:rFonts w:cs="Times New Roman"/>
          <w:color w:val="auto"/>
          <w:sz w:val="20"/>
          <w:vertAlign w:val="superscript"/>
          <w:lang w:val="lt-LT"/>
        </w:rPr>
        <w:t>3</w:t>
      </w:r>
      <w:r>
        <w:rPr>
          <w:rFonts w:cs="Times New Roman"/>
          <w:color w:val="auto"/>
          <w:position w:val="0"/>
          <w:sz w:val="20"/>
          <w:sz w:val="20"/>
          <w:vertAlign w:val="baseline"/>
          <w:lang w:val="lt-LT"/>
        </w:rPr>
        <w:t>), popieriaus konteineris (5 m</w:t>
      </w:r>
      <w:r>
        <w:rPr>
          <w:rFonts w:cs="Times New Roman"/>
          <w:color w:val="auto"/>
          <w:sz w:val="20"/>
          <w:vertAlign w:val="superscript"/>
          <w:lang w:val="lt-LT"/>
        </w:rPr>
        <w:t>3</w:t>
      </w:r>
      <w:r>
        <w:rPr>
          <w:rFonts w:cs="Times New Roman"/>
          <w:color w:val="auto"/>
          <w:position w:val="0"/>
          <w:sz w:val="20"/>
          <w:sz w:val="20"/>
          <w:vertAlign w:val="baseline"/>
          <w:lang w:val="lt-LT"/>
        </w:rPr>
        <w:t>), bei stiklo konteineris (3 m</w:t>
      </w:r>
      <w:r>
        <w:rPr>
          <w:rFonts w:cs="Times New Roman"/>
          <w:color w:val="auto"/>
          <w:sz w:val="20"/>
          <w:vertAlign w:val="superscript"/>
          <w:lang w:val="lt-LT"/>
        </w:rPr>
        <w:t>3</w:t>
      </w:r>
      <w:r>
        <w:rPr>
          <w:rFonts w:cs="Times New Roman"/>
          <w:color w:val="auto"/>
          <w:position w:val="0"/>
          <w:sz w:val="20"/>
          <w:sz w:val="20"/>
          <w:vertAlign w:val="baseline"/>
          <w:lang w:val="lt-LT"/>
        </w:rPr>
        <w:t xml:space="preserve">). Tiksli konteinerių išdėstymo tvarka, apdaila tikslinama DP. </w:t>
      </w:r>
    </w:p>
    <w:p>
      <w:pPr>
        <w:pStyle w:val="Default"/>
        <w:jc w:val="both"/>
        <w:rPr/>
      </w:pPr>
      <w:r>
        <w:rPr>
          <w:rFonts w:cs="Times New Roman"/>
          <w:color w:val="auto"/>
          <w:sz w:val="20"/>
          <w:lang w:val="lt-LT"/>
        </w:rPr>
        <w:tab/>
        <w:t xml:space="preserve">Įrengiant konteinerius būtina vadovautis </w:t>
      </w:r>
      <w:r>
        <w:rPr>
          <w:rFonts w:eastAsia="Times New Roman" w:cs="Times New Roman"/>
          <w:color w:val="auto"/>
          <w:kern w:val="0"/>
          <w:sz w:val="20"/>
          <w:szCs w:val="24"/>
          <w:lang w:val="lt-LT" w:eastAsia="en-US" w:bidi="ar-SA"/>
        </w:rPr>
        <w:t>Klaipėdos miesto savivaldybės tarybos 2013 m. gruodžio 18 d. sprendimu Nr. T2-334 patvirtintų Klaipėdos miesto savivaldybės komunalinių atliekų tvarkymo taisyklių.</w:t>
      </w:r>
    </w:p>
    <w:p>
      <w:pPr>
        <w:pStyle w:val="Paprtekstas"/>
        <w:widowControl/>
        <w:suppressAutoHyphens w:val="true"/>
        <w:bidi w:val="0"/>
        <w:spacing w:lineRule="auto" w:line="276"/>
        <w:jc w:val="both"/>
        <w:rPr>
          <w:rFonts w:ascii="Arial" w:hAnsi="Arial" w:eastAsia="Times New Roman" w:cs="Times New Roman"/>
          <w:color w:val="auto"/>
          <w:kern w:val="0"/>
          <w:sz w:val="20"/>
          <w:szCs w:val="24"/>
          <w:lang w:val="lt-LT" w:eastAsia="en-US" w:bidi="ar-SA"/>
        </w:rPr>
      </w:pPr>
      <w:r>
        <w:rPr>
          <w:rFonts w:eastAsia="Times New Roman" w:cs="Times New Roman"/>
          <w:color w:val="auto"/>
          <w:kern w:val="0"/>
          <w:sz w:val="20"/>
          <w:szCs w:val="24"/>
          <w:lang w:val="lt-LT" w:eastAsia="en-US" w:bidi="ar-SA"/>
        </w:rPr>
      </w:r>
    </w:p>
    <w:p>
      <w:pPr>
        <w:pStyle w:val="Paprtekstas"/>
        <w:widowControl/>
        <w:suppressAutoHyphens w:val="true"/>
        <w:bidi w:val="0"/>
        <w:spacing w:lineRule="auto" w:line="276"/>
        <w:rPr>
          <w:color w:val="auto"/>
        </w:rPr>
      </w:pPr>
      <w:r>
        <w:rPr>
          <w:rFonts w:eastAsia="Times New Roman" w:cs="Times New Roman"/>
          <w:b/>
          <w:bCs/>
          <w:color w:val="auto"/>
          <w:kern w:val="0"/>
          <w:sz w:val="22"/>
          <w:szCs w:val="22"/>
          <w:lang w:val="lt-LT" w:eastAsia="en-US" w:bidi="ar-SA"/>
        </w:rPr>
        <w:t>4.11. Mažosios architektūros elementų įrengimo darbų priėmimas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Mažosios architektūros elementai privalo atitikti šiose techninėse specifikacijose nurodytus reikalavimus.  Visos  naudojamos  medžiagos  privalo  būti  naujos  ir  nenusidėvėję  nuo  jų įrengimo iki darbų priėmimo dienos.</w:t>
      </w:r>
    </w:p>
    <w:p>
      <w:pPr>
        <w:pStyle w:val="Paprtekstas"/>
        <w:widowControl/>
        <w:suppressAutoHyphens w:val="true"/>
        <w:bidi w:val="0"/>
        <w:spacing w:lineRule="auto" w:line="276"/>
        <w:rPr>
          <w:color w:val="auto"/>
        </w:rPr>
      </w:pPr>
      <w:r>
        <w:rPr>
          <w:rFonts w:eastAsia="Times New Roman" w:cs="Times New Roman"/>
          <w:b/>
          <w:bCs/>
          <w:color w:val="auto"/>
          <w:kern w:val="0"/>
          <w:sz w:val="22"/>
          <w:szCs w:val="22"/>
          <w:lang w:val="lt-LT" w:eastAsia="en-US" w:bidi="ar-SA"/>
        </w:rPr>
        <w:t>4.12. Mažosios architektūros elementų tipinė priežiūra</w:t>
      </w:r>
    </w:p>
    <w:p>
      <w:pPr>
        <w:pStyle w:val="Paprtekstas"/>
        <w:widowControl/>
        <w:suppressAutoHyphens w:val="true"/>
        <w:bidi w:val="0"/>
        <w:spacing w:lineRule="auto" w:line="276" w:before="0" w:after="120"/>
        <w:rPr>
          <w:color w:val="auto"/>
        </w:rPr>
      </w:pPr>
      <w:r>
        <w:rPr>
          <w:rFonts w:eastAsia="Times New Roman" w:cs="Times New Roman"/>
          <w:color w:val="auto"/>
          <w:kern w:val="0"/>
          <w:szCs w:val="24"/>
          <w:lang w:val="lt-LT" w:eastAsia="en-US" w:bidi="ar-SA"/>
        </w:rPr>
        <w:t>Mažosios architektūros elementai turi būti prižiūrimi pagal gamintojų specifikacijas ir taip, kad išlaikytų savo pirminę išvaizdą.</w:t>
      </w:r>
    </w:p>
    <w:p>
      <w:pPr>
        <w:pStyle w:val="Paprtekstas"/>
        <w:widowControl/>
        <w:suppressAutoHyphens w:val="true"/>
        <w:bidi w:val="0"/>
        <w:spacing w:lineRule="auto" w:line="276" w:before="0" w:after="120"/>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r>
    </w:p>
    <w:p>
      <w:pPr>
        <w:pStyle w:val="Paprtekstas"/>
        <w:widowControl/>
        <w:suppressAutoHyphens w:val="true"/>
        <w:bidi w:val="0"/>
        <w:spacing w:lineRule="auto" w:line="276" w:before="0" w:after="120"/>
        <w:rPr>
          <w:color w:val="auto"/>
        </w:rPr>
      </w:pPr>
      <w:r>
        <w:rPr>
          <w:rFonts w:eastAsia="Times New Roman" w:cs="Times New Roman"/>
          <w:b/>
          <w:bCs/>
          <w:color w:val="auto"/>
          <w:kern w:val="0"/>
          <w:sz w:val="22"/>
          <w:szCs w:val="22"/>
          <w:lang w:val="lt-LT" w:eastAsia="en-US" w:bidi="ar-SA"/>
        </w:rPr>
        <w:t>5. ŽELDYNAI</w:t>
      </w:r>
    </w:p>
    <w:p>
      <w:pPr>
        <w:pStyle w:val="Paprtekstas"/>
        <w:widowControl/>
        <w:suppressAutoHyphens w:val="true"/>
        <w:bidi w:val="0"/>
        <w:spacing w:lineRule="auto" w:line="276" w:before="0" w:after="120"/>
        <w:rPr>
          <w:color w:val="auto"/>
        </w:rPr>
      </w:pPr>
      <w:r>
        <w:rPr>
          <w:rFonts w:eastAsia="Times New Roman" w:cs="Times New Roman"/>
          <w:b/>
          <w:bCs/>
          <w:color w:val="auto"/>
          <w:kern w:val="0"/>
          <w:sz w:val="22"/>
          <w:szCs w:val="22"/>
          <w:lang w:val="lt-LT" w:eastAsia="en-US" w:bidi="ar-SA"/>
        </w:rPr>
        <w:t>5.1. Įvadas</w:t>
      </w:r>
    </w:p>
    <w:p>
      <w:pPr>
        <w:pStyle w:val="Normal"/>
        <w:widowControl/>
        <w:spacing w:before="0" w:after="0"/>
        <w:contextualSpacing/>
        <w:jc w:val="both"/>
        <w:rPr/>
      </w:pPr>
      <w:r>
        <w:rPr>
          <w:rFonts w:eastAsia="Calibri" w:cs="" w:ascii="Arial" w:hAnsi="Arial"/>
          <w:kern w:val="2"/>
          <w:sz w:val="20"/>
          <w:szCs w:val="20"/>
          <w:lang w:val="lt-LT" w:eastAsia="en-US" w:bidi="ar-SA"/>
        </w:rPr>
        <w:tab/>
      </w:r>
      <w:r>
        <w:rPr>
          <w:rFonts w:eastAsia="Times New Roman" w:cs="Times New Roman" w:ascii="Arial" w:hAnsi="Arial"/>
          <w:color w:val="auto"/>
          <w:kern w:val="0"/>
          <w:sz w:val="20"/>
          <w:szCs w:val="24"/>
          <w:lang w:val="lt-LT" w:eastAsia="en-US" w:bidi="ar-SA"/>
        </w:rPr>
        <w:t>Visi nauji želdiniai turi atitikti Lietuvos Respublikos aplinkos ministro 2007 m. gruodžio 14 d. įsakymo Nr. D1-674 „Dėl sodmenų kokybės reikalavimų patvirtinimo“ keliamus reikalavimus. Sodinukai turi būti gerai susiformavę, lapai nepažeisti kenkėjų, neapdžiūvę, šakos sveikos, be mechaninių pažeidimų. Šaknynas turi būti gerai susiformavęs, neužspaustas vazonėlyje, nepažeistas kenkėjų ar ligų. Želdiniai sodinami tuomet, kai teritorija yra visiškai paruošta ir išlyginta iki projektinių aukščių.</w:t>
      </w:r>
    </w:p>
    <w:p>
      <w:pPr>
        <w:pStyle w:val="Normal"/>
        <w:widowControl/>
        <w:spacing w:before="0" w:after="0"/>
        <w:contextualSpacing/>
        <w:jc w:val="both"/>
        <w:rPr>
          <w:rFonts w:ascii="Arial" w:hAnsi="Arial" w:eastAsia="Times New Roman" w:cs="Times New Roman"/>
          <w:color w:val="auto"/>
          <w:kern w:val="0"/>
          <w:sz w:val="20"/>
          <w:szCs w:val="24"/>
          <w:lang w:val="lt-LT" w:eastAsia="en-US" w:bidi="ar-SA"/>
        </w:rPr>
      </w:pPr>
      <w:r>
        <w:rPr>
          <w:rFonts w:eastAsia="Times New Roman" w:cs="Times New Roman" w:ascii="Arial" w:hAnsi="Arial"/>
          <w:color w:val="auto"/>
          <w:kern w:val="0"/>
          <w:sz w:val="20"/>
          <w:szCs w:val="24"/>
          <w:lang w:val="lt-LT" w:eastAsia="en-US" w:bidi="ar-SA"/>
        </w:rPr>
      </w:r>
    </w:p>
    <w:p>
      <w:pPr>
        <w:pStyle w:val="Paprtekstas"/>
        <w:widowControl/>
        <w:suppressAutoHyphens w:val="true"/>
        <w:bidi w:val="0"/>
        <w:spacing w:lineRule="auto" w:line="276" w:before="0" w:after="120"/>
        <w:rPr>
          <w:color w:val="auto"/>
        </w:rPr>
      </w:pPr>
      <w:r>
        <w:rPr>
          <w:rFonts w:eastAsia="Times New Roman" w:cs="Times New Roman"/>
          <w:b/>
          <w:bCs/>
          <w:color w:val="auto"/>
          <w:kern w:val="0"/>
          <w:sz w:val="22"/>
          <w:szCs w:val="22"/>
          <w:lang w:val="lt-LT" w:eastAsia="en-US" w:bidi="ar-SA"/>
        </w:rPr>
        <w:t>5.2. Esamų medžių apsauga</w:t>
      </w:r>
    </w:p>
    <w:p>
      <w:pPr>
        <w:pStyle w:val="Normal"/>
        <w:widowControl/>
        <w:spacing w:before="0" w:after="0"/>
        <w:contextualSpacing/>
        <w:jc w:val="both"/>
        <w:rPr>
          <w:rFonts w:ascii="Arial" w:hAnsi="Arial" w:eastAsia="Calibri" w:cs=""/>
          <w:b w:val="false"/>
          <w:bCs w:val="false"/>
          <w:kern w:val="2"/>
          <w:sz w:val="20"/>
          <w:szCs w:val="20"/>
          <w:lang w:val="lt-LT" w:eastAsia="en-US" w:bidi="ar-SA"/>
        </w:rPr>
      </w:pPr>
      <w:r>
        <w:rPr>
          <w:rFonts w:eastAsia="Calibri" w:cs="Poppins ExtraLight" w:ascii="Arial" w:hAnsi="Arial"/>
          <w:b w:val="false"/>
          <w:bCs w:val="false"/>
          <w:kern w:val="2"/>
          <w:sz w:val="20"/>
          <w:szCs w:val="20"/>
          <w:lang w:val="lt-LT" w:eastAsia="en-US" w:bidi="ar-SA"/>
        </w:rPr>
        <w:tab/>
        <w:t>Šaknų apsaugos zonos plotas (12 × medžio kamieno diametras) aptveriamas statybine tvora arba nepaslankia užtvara. Šaknų apsaugos zonoje draudžiama važiuoti sunkiąja technika, sandėliuoti statybines ir kitas medžiagas, pilti betono atliekas bei skysčius (išskyrus švarų vandenį), užkasti statybinių laužą.</w:t>
      </w:r>
    </w:p>
    <w:p>
      <w:pPr>
        <w:pStyle w:val="Normal"/>
        <w:widowControl/>
        <w:spacing w:before="0" w:after="0"/>
        <w:contextualSpacing/>
        <w:jc w:val="both"/>
        <w:rPr>
          <w:rFonts w:ascii="Arial" w:hAnsi="Arial" w:eastAsia="Calibri" w:cs=""/>
          <w:b w:val="false"/>
          <w:bCs w:val="false"/>
          <w:kern w:val="2"/>
          <w:sz w:val="20"/>
          <w:szCs w:val="20"/>
          <w:lang w:val="lt-LT" w:eastAsia="en-US" w:bidi="ar-SA"/>
        </w:rPr>
      </w:pPr>
      <w:r>
        <w:rPr>
          <w:rFonts w:eastAsia="Calibri" w:cs="Poppins ExtraLight" w:ascii="Arial" w:hAnsi="Arial"/>
          <w:b w:val="false"/>
          <w:bCs w:val="false"/>
          <w:kern w:val="2"/>
          <w:sz w:val="20"/>
          <w:szCs w:val="20"/>
          <w:lang w:val="lt-LT" w:eastAsia="en-US" w:bidi="ar-SA"/>
        </w:rPr>
        <w:t>Medžių kamienai apjuosiami plastikiniais gofruotais vamzdžiais abrazyvaus lentų poveikio prevencijai ir aprišami medinėmis lentomis. Medžių grupės ir krūmai aptveriami ne arčiau kaip 1,5 m nuo medžių kamienų ir 1 m nuo krūmų, o pavieniai medžiai ribotame plote – trikampiu aptvaru, kurio apatinės kraštinės turi būti ne arčiau kaip 0,5 m nuo medžio kamieno.</w:t>
      </w:r>
    </w:p>
    <w:p>
      <w:pPr>
        <w:pStyle w:val="Normal"/>
        <w:widowControl/>
        <w:spacing w:before="0" w:after="0"/>
        <w:contextualSpacing/>
        <w:jc w:val="both"/>
        <w:rPr>
          <w:rFonts w:ascii="Arial" w:hAnsi="Arial" w:eastAsia="Calibri" w:cs=""/>
          <w:b w:val="false"/>
          <w:bCs w:val="false"/>
          <w:kern w:val="2"/>
          <w:sz w:val="20"/>
          <w:szCs w:val="20"/>
          <w:lang w:val="lt-LT" w:eastAsia="en-US" w:bidi="ar-SA"/>
        </w:rPr>
      </w:pPr>
      <w:r>
        <w:rPr>
          <w:rFonts w:eastAsia="Calibri" w:cs="Poppins ExtraLight" w:ascii="Arial" w:hAnsi="Arial"/>
          <w:b w:val="false"/>
          <w:bCs w:val="false"/>
          <w:kern w:val="2"/>
          <w:sz w:val="20"/>
          <w:szCs w:val="20"/>
          <w:lang w:val="lt-LT" w:eastAsia="en-US" w:bidi="ar-SA"/>
        </w:rPr>
        <w:tab/>
        <w:t>Visu rangos laikotarpiu užtikrinamas medžių šaknų drėkinimas laistymo maišais, atsižvelgiant į medžio kamieno diametrą. Maišai tvirtinami tik ant medinio kuolo (atramos) 0,3–0,4 m atstumu nuo medžio kamieno krašto.</w:t>
      </w:r>
    </w:p>
    <w:p>
      <w:pPr>
        <w:pStyle w:val="Normal"/>
        <w:widowControl/>
        <w:spacing w:before="0" w:after="0"/>
        <w:ind w:hanging="0"/>
        <w:contextualSpacing/>
        <w:jc w:val="both"/>
        <w:rPr>
          <w:rFonts w:ascii="Arial" w:hAnsi="Arial" w:eastAsia="Calibri" w:cs=""/>
          <w:b w:val="false"/>
          <w:bCs w:val="false"/>
          <w:kern w:val="2"/>
          <w:sz w:val="20"/>
          <w:szCs w:val="20"/>
          <w:lang w:val="lt-LT" w:eastAsia="en-US" w:bidi="ar-SA"/>
        </w:rPr>
      </w:pPr>
      <w:r>
        <w:rPr>
          <w:rFonts w:eastAsia="Calibri" w:cs="Poppins ExtraLight" w:ascii="Arial" w:hAnsi="Arial"/>
          <w:b w:val="false"/>
          <w:bCs w:val="false"/>
          <w:kern w:val="2"/>
          <w:sz w:val="20"/>
          <w:szCs w:val="20"/>
          <w:lang w:val="lt-LT" w:eastAsia="en-US" w:bidi="ar-SA"/>
        </w:rPr>
        <w:t>Iki 16 cm diametro – 1 laistymo maišas.</w:t>
      </w:r>
    </w:p>
    <w:p>
      <w:pPr>
        <w:pStyle w:val="Normal"/>
        <w:widowControl/>
        <w:spacing w:before="0" w:after="0"/>
        <w:ind w:hanging="0"/>
        <w:contextualSpacing/>
        <w:jc w:val="both"/>
        <w:rPr>
          <w:rFonts w:ascii="Arial" w:hAnsi="Arial" w:eastAsia="Calibri" w:cs=""/>
          <w:b w:val="false"/>
          <w:bCs w:val="false"/>
          <w:kern w:val="2"/>
          <w:sz w:val="20"/>
          <w:szCs w:val="20"/>
          <w:lang w:val="lt-LT" w:eastAsia="en-US" w:bidi="ar-SA"/>
        </w:rPr>
      </w:pPr>
      <w:r>
        <w:rPr>
          <w:rFonts w:eastAsia="Calibri" w:cs="Poppins ExtraLight" w:ascii="Arial" w:hAnsi="Arial"/>
          <w:b w:val="false"/>
          <w:bCs w:val="false"/>
          <w:kern w:val="2"/>
          <w:sz w:val="20"/>
          <w:szCs w:val="20"/>
          <w:lang w:val="lt-LT" w:eastAsia="en-US" w:bidi="ar-SA"/>
        </w:rPr>
        <w:t>Nuo 16 iki 28 cm diametro – 2 laistymo maišai.</w:t>
      </w:r>
    </w:p>
    <w:p>
      <w:pPr>
        <w:pStyle w:val="Normal"/>
        <w:widowControl/>
        <w:spacing w:before="0" w:after="0"/>
        <w:ind w:hanging="0"/>
        <w:contextualSpacing/>
        <w:jc w:val="both"/>
        <w:rPr>
          <w:rFonts w:ascii="Arial" w:hAnsi="Arial" w:eastAsia="Calibri" w:cs=""/>
          <w:b w:val="false"/>
          <w:bCs w:val="false"/>
          <w:kern w:val="2"/>
          <w:sz w:val="20"/>
          <w:szCs w:val="20"/>
          <w:lang w:val="lt-LT" w:eastAsia="en-US" w:bidi="ar-SA"/>
        </w:rPr>
      </w:pPr>
      <w:r>
        <w:rPr>
          <w:rFonts w:eastAsia="Calibri" w:cs="Poppins ExtraLight" w:ascii="Arial" w:hAnsi="Arial"/>
          <w:b w:val="false"/>
          <w:bCs w:val="false"/>
          <w:kern w:val="2"/>
          <w:sz w:val="20"/>
          <w:szCs w:val="20"/>
          <w:lang w:val="lt-LT" w:eastAsia="en-US" w:bidi="ar-SA"/>
        </w:rPr>
        <w:t>Nuo 28 iki 36 cm diametro – 3 laistymo maišai.</w:t>
      </w:r>
    </w:p>
    <w:p>
      <w:pPr>
        <w:pStyle w:val="Normal"/>
        <w:widowControl/>
        <w:spacing w:before="0" w:after="0"/>
        <w:ind w:hanging="0"/>
        <w:contextualSpacing/>
        <w:jc w:val="both"/>
        <w:rPr>
          <w:rFonts w:ascii="Arial" w:hAnsi="Arial" w:eastAsia="Calibri" w:cs=""/>
          <w:b w:val="false"/>
          <w:bCs w:val="false"/>
          <w:kern w:val="2"/>
          <w:sz w:val="20"/>
          <w:szCs w:val="20"/>
          <w:lang w:val="lt-LT" w:eastAsia="en-US" w:bidi="ar-SA"/>
        </w:rPr>
      </w:pPr>
      <w:r>
        <w:rPr>
          <w:rFonts w:eastAsia="Calibri" w:cs="Poppins ExtraLight" w:ascii="Arial" w:hAnsi="Arial"/>
          <w:b w:val="false"/>
          <w:bCs w:val="false"/>
          <w:kern w:val="2"/>
          <w:sz w:val="20"/>
          <w:szCs w:val="20"/>
          <w:lang w:val="lt-LT" w:eastAsia="en-US" w:bidi="ar-SA"/>
        </w:rPr>
        <w:t>Nuo 36 iki 48 cm diametro – 4 laistymo maišai.</w:t>
      </w:r>
    </w:p>
    <w:p>
      <w:pPr>
        <w:pStyle w:val="Normal"/>
        <w:widowControl/>
        <w:spacing w:before="0" w:after="0"/>
        <w:ind w:hanging="0"/>
        <w:contextualSpacing/>
        <w:jc w:val="both"/>
        <w:rPr>
          <w:rFonts w:ascii="Arial" w:hAnsi="Arial" w:eastAsia="Calibri" w:cs=""/>
          <w:b w:val="false"/>
          <w:bCs w:val="false"/>
          <w:kern w:val="2"/>
          <w:sz w:val="20"/>
          <w:szCs w:val="20"/>
          <w:lang w:val="lt-LT" w:eastAsia="en-US" w:bidi="ar-SA"/>
        </w:rPr>
      </w:pPr>
      <w:r>
        <w:rPr>
          <w:rFonts w:eastAsia="Calibri" w:cs="Poppins ExtraLight" w:ascii="Arial" w:hAnsi="Arial"/>
          <w:b w:val="false"/>
          <w:bCs w:val="false"/>
          <w:kern w:val="2"/>
          <w:sz w:val="20"/>
          <w:szCs w:val="20"/>
          <w:lang w:val="lt-LT" w:eastAsia="en-US" w:bidi="ar-SA"/>
        </w:rPr>
        <w:t>Daugiau nei 48 cm – 5 laistymo maišai.</w:t>
      </w:r>
    </w:p>
    <w:p>
      <w:pPr>
        <w:pStyle w:val="Normal"/>
        <w:widowControl/>
        <w:spacing w:before="0" w:after="0"/>
        <w:contextualSpacing/>
        <w:jc w:val="both"/>
        <w:rPr>
          <w:rFonts w:ascii="Arial" w:hAnsi="Arial" w:eastAsia="Calibri" w:cs=""/>
          <w:b w:val="false"/>
          <w:bCs w:val="false"/>
          <w:kern w:val="2"/>
          <w:sz w:val="20"/>
          <w:szCs w:val="20"/>
          <w:lang w:val="lt-LT" w:eastAsia="en-US" w:bidi="ar-SA"/>
        </w:rPr>
      </w:pPr>
      <w:r>
        <w:rPr>
          <w:rFonts w:eastAsia="Calibri" w:cs="Poppins ExtraLight" w:ascii="Arial" w:hAnsi="Arial"/>
          <w:b w:val="false"/>
          <w:bCs w:val="false"/>
          <w:kern w:val="2"/>
          <w:sz w:val="20"/>
          <w:szCs w:val="20"/>
          <w:lang w:val="lt-LT" w:eastAsia="en-US" w:bidi="ar-SA"/>
        </w:rPr>
        <w:tab/>
        <w:t>Šaknų apsaugos zonoje medžių šaknys atkasamos tik rankiniu būdu arba oro kastuvu, kuo labiau saugant paviršines šaknis. Po atkasimo paslankios šaknys atsargiai surišamos, kad netrukdytų tolimesniems darbams, uždengiamos tekstile ir nuolat drėkinamos, neleidžiant išdžiūti tekstilei, iki visiško užkasimo gruntu.</w:t>
      </w:r>
    </w:p>
    <w:p>
      <w:pPr>
        <w:pStyle w:val="Normal"/>
        <w:widowControl/>
        <w:spacing w:before="0" w:after="0"/>
        <w:contextualSpacing/>
        <w:jc w:val="both"/>
        <w:rPr>
          <w:rFonts w:ascii="Arial" w:hAnsi="Arial" w:eastAsia="Calibri" w:cs=""/>
          <w:b w:val="false"/>
          <w:bCs w:val="false"/>
          <w:kern w:val="2"/>
          <w:sz w:val="20"/>
          <w:szCs w:val="20"/>
          <w:lang w:val="lt-LT" w:eastAsia="en-US" w:bidi="ar-SA"/>
        </w:rPr>
      </w:pPr>
      <w:r>
        <w:rPr>
          <w:rFonts w:eastAsia="Calibri" w:cs="Poppins ExtraLight" w:ascii="Arial" w:hAnsi="Arial"/>
          <w:b w:val="false"/>
          <w:bCs w:val="false"/>
          <w:kern w:val="2"/>
          <w:sz w:val="20"/>
          <w:szCs w:val="20"/>
          <w:lang w:val="lt-LT" w:eastAsia="en-US" w:bidi="ar-SA"/>
        </w:rPr>
        <w:t>Atkastos šaknys dengiamos ~150 g/m² geotekstile (sintetine – daugkartiniam naudojimui, o savaime suyrančia – paliekant ir užkasant gruntu). Geotekstilė nuolat laistoma, kad nedžiūtų maitinančios paviršinės šaknys, įsiskverbusios 15–20 cm gylyje.</w:t>
      </w:r>
    </w:p>
    <w:p>
      <w:pPr>
        <w:pStyle w:val="Normal"/>
        <w:widowControl/>
        <w:spacing w:before="0" w:after="0"/>
        <w:contextualSpacing/>
        <w:jc w:val="both"/>
        <w:rPr>
          <w:rFonts w:ascii="Arial" w:hAnsi="Arial" w:eastAsia="Calibri" w:cs=""/>
          <w:b w:val="false"/>
          <w:bCs w:val="false"/>
          <w:kern w:val="2"/>
          <w:sz w:val="20"/>
          <w:szCs w:val="20"/>
          <w:lang w:val="lt-LT" w:eastAsia="en-US" w:bidi="ar-SA"/>
        </w:rPr>
      </w:pPr>
      <w:r>
        <w:rPr>
          <w:rFonts w:eastAsia="Calibri" w:cs="Poppins ExtraLight" w:ascii="Arial" w:hAnsi="Arial"/>
          <w:b w:val="false"/>
          <w:bCs w:val="false"/>
          <w:kern w:val="2"/>
          <w:sz w:val="20"/>
          <w:szCs w:val="20"/>
          <w:lang w:val="lt-LT" w:eastAsia="en-US" w:bidi="ar-SA"/>
        </w:rPr>
        <w:tab/>
        <w:t>Šaknys, kurių diametras nuo 5 cm, aprašomos 150 g sintetine (daugkartinio naudojimo) arba natūraliai suyrančia (paliekant ir užpilant gruntu) tekstile. Esant poreikiui statybvietėje trumpinti medžių šaknis, jos kerpamos tik sekatoriumi arba pjūvis daromas tik aštriu pjūkliuku Atkasant šaknis pietinėje pusėje ir saulėkaitoje, būtina užtikrinti stabilų šaknų drėgmės balansą.</w:t>
      </w:r>
    </w:p>
    <w:p>
      <w:pPr>
        <w:pStyle w:val="Normal"/>
        <w:widowControl/>
        <w:spacing w:before="0" w:after="0"/>
        <w:contextualSpacing/>
        <w:jc w:val="both"/>
        <w:rPr>
          <w:rFonts w:ascii="Arial" w:hAnsi="Arial" w:eastAsia="Calibri" w:cs=""/>
          <w:b w:val="false"/>
          <w:bCs w:val="false"/>
          <w:kern w:val="2"/>
          <w:sz w:val="20"/>
          <w:szCs w:val="20"/>
          <w:lang w:val="lt-LT" w:eastAsia="en-US" w:bidi="ar-SA"/>
        </w:rPr>
      </w:pPr>
      <w:r>
        <w:rPr>
          <w:rFonts w:eastAsia="Calibri" w:cs="Poppins ExtraLight" w:ascii="Arial" w:hAnsi="Arial"/>
          <w:b w:val="false"/>
          <w:bCs w:val="false"/>
          <w:kern w:val="2"/>
          <w:sz w:val="20"/>
          <w:szCs w:val="20"/>
          <w:lang w:val="lt-LT" w:eastAsia="en-US" w:bidi="ar-SA"/>
        </w:rPr>
        <w:tab/>
        <w:t>Atidengtas šaknis užpylus gruntu, šaknų apsaugos zonos plotas nuolat laistomas 1–2 savaites, kad būtų atkurtas medžio drėgmės balansas. Šaknų apsaugos zonoje įrengus dangas, medis 4 savaites laistomas biostimuliatoriais per įrengtus laistymo ir vėdinimo šulinėlius.</w:t>
      </w:r>
    </w:p>
    <w:p>
      <w:pPr>
        <w:pStyle w:val="Normal"/>
        <w:widowControl/>
        <w:spacing w:before="0" w:after="0"/>
        <w:contextualSpacing/>
        <w:jc w:val="both"/>
        <w:rPr>
          <w:rFonts w:ascii="Arial" w:hAnsi="Arial" w:eastAsia="Calibri" w:cs=""/>
          <w:b w:val="false"/>
          <w:bCs w:val="false"/>
          <w:kern w:val="2"/>
          <w:sz w:val="20"/>
          <w:szCs w:val="20"/>
          <w:lang w:val="lt-LT" w:eastAsia="en-US" w:bidi="ar-SA"/>
        </w:rPr>
      </w:pPr>
      <w:r>
        <w:rPr>
          <w:rFonts w:eastAsia="Calibri" w:cs="Poppins ExtraLight" w:ascii="Arial" w:hAnsi="Arial"/>
          <w:b w:val="false"/>
          <w:bCs w:val="false"/>
          <w:kern w:val="2"/>
          <w:sz w:val="20"/>
          <w:szCs w:val="20"/>
          <w:lang w:val="lt-LT" w:eastAsia="en-US" w:bidi="ar-SA"/>
        </w:rPr>
        <w:t xml:space="preserve">Būsimo želdinimo vietoje pomedyje nuimant šaligatvio plyteles, dangų nuardymo darbai vykdomi tik rankiniu būdu. </w:t>
        <w:tab/>
        <w:t>Nuėmus dangas, užpilama juodžemiu.</w:t>
      </w:r>
    </w:p>
    <w:p>
      <w:pPr>
        <w:pStyle w:val="Normal"/>
        <w:widowControl/>
        <w:spacing w:before="0" w:after="0"/>
        <w:contextualSpacing/>
        <w:jc w:val="both"/>
        <w:rPr>
          <w:rFonts w:ascii="Arial" w:hAnsi="Arial" w:eastAsia="Calibri" w:cs=""/>
          <w:b w:val="false"/>
          <w:bCs w:val="false"/>
          <w:kern w:val="2"/>
          <w:sz w:val="20"/>
          <w:szCs w:val="20"/>
          <w:lang w:val="lt-LT" w:eastAsia="en-US" w:bidi="ar-SA"/>
        </w:rPr>
      </w:pPr>
      <w:r>
        <w:rPr>
          <w:rFonts w:eastAsia="Calibri" w:cs="Poppins ExtraLight" w:ascii="Arial" w:hAnsi="Arial"/>
          <w:b w:val="false"/>
          <w:bCs w:val="false"/>
          <w:kern w:val="2"/>
          <w:sz w:val="20"/>
          <w:szCs w:val="20"/>
          <w:lang w:val="lt-LT" w:eastAsia="en-US" w:bidi="ar-SA"/>
        </w:rPr>
        <w:tab/>
        <w:t>Medžiams kurie auga pievoje, kamienams būtina naudoti apsauga nuo mechaninių pažeidimų.</w:t>
      </w:r>
    </w:p>
    <w:p>
      <w:pPr>
        <w:pStyle w:val="Normal"/>
        <w:widowControl/>
        <w:spacing w:before="0" w:after="0"/>
        <w:contextualSpacing/>
        <w:jc w:val="both"/>
        <w:rPr>
          <w:rFonts w:ascii="Arial" w:hAnsi="Arial" w:eastAsia="Calibri" w:cs=""/>
          <w:b w:val="false"/>
          <w:bCs w:val="false"/>
          <w:kern w:val="2"/>
          <w:sz w:val="20"/>
          <w:szCs w:val="20"/>
          <w:lang w:val="lt-LT" w:eastAsia="en-US" w:bidi="ar-SA"/>
        </w:rPr>
      </w:pPr>
      <w:r>
        <w:rPr>
          <w:rFonts w:eastAsia="Calibri" w:cs="Poppins ExtraLight" w:ascii="Arial" w:hAnsi="Arial"/>
          <w:b w:val="false"/>
          <w:bCs w:val="false"/>
          <w:kern w:val="2"/>
          <w:sz w:val="20"/>
          <w:szCs w:val="20"/>
          <w:lang w:val="lt-LT" w:eastAsia="en-US" w:bidi="ar-SA"/>
        </w:rPr>
        <w:t>Po egzistuojančiais medžiais prieš sodinimą būtina atlikti šaknų revizija ir pomedžiuose sodinamų augalų kiekius tikslinti darbo projekto metu.</w:t>
      </w:r>
    </w:p>
    <w:p>
      <w:pPr>
        <w:pStyle w:val="Normal"/>
        <w:widowControl/>
        <w:spacing w:before="0" w:after="0"/>
        <w:contextualSpacing/>
        <w:jc w:val="both"/>
        <w:rPr>
          <w:rFonts w:ascii="Arial" w:hAnsi="Arial" w:eastAsia="Calibri" w:cs="Poppins ExtraLight"/>
          <w:b w:val="false"/>
          <w:bCs w:val="false"/>
          <w:kern w:val="2"/>
          <w:sz w:val="20"/>
          <w:szCs w:val="20"/>
          <w:lang w:val="lt-LT" w:eastAsia="en-US" w:bidi="ar-SA"/>
        </w:rPr>
      </w:pPr>
      <w:r>
        <w:rPr>
          <w:rFonts w:eastAsia="Calibri" w:cs="Poppins ExtraLight" w:ascii="Arial" w:hAnsi="Arial"/>
          <w:b w:val="false"/>
          <w:bCs w:val="false"/>
          <w:kern w:val="2"/>
          <w:sz w:val="20"/>
          <w:szCs w:val="20"/>
          <w:lang w:val="lt-LT" w:eastAsia="en-US" w:bidi="ar-SA"/>
        </w:rPr>
        <w:tab/>
        <w:t>Pomedžiuose reikalinga atlikti augavietės gerinimo (revitalizacijos) procedūras (purenimą, mikrobiologinių preparatų įterpimą į gilesnius dirožemio sluoksnius).</w:t>
      </w:r>
    </w:p>
    <w:p>
      <w:pPr>
        <w:pStyle w:val="Normal"/>
        <w:widowControl/>
        <w:spacing w:before="0" w:after="0"/>
        <w:contextualSpacing/>
        <w:jc w:val="both"/>
        <w:rPr/>
      </w:pPr>
      <w:r>
        <w:rPr>
          <w:rFonts w:eastAsia="Calibri" w:cs="Poppins ExtraLight" w:ascii="Arial" w:hAnsi="Arial"/>
          <w:b w:val="false"/>
          <w:bCs w:val="false"/>
          <w:kern w:val="2"/>
          <w:sz w:val="20"/>
          <w:szCs w:val="20"/>
          <w:lang w:val="lt-LT" w:eastAsia="en-US" w:bidi="ar-SA"/>
        </w:rPr>
        <w:tab/>
      </w:r>
      <w:r>
        <w:rPr>
          <w:rFonts w:eastAsia="Calibri" w:cs="" w:ascii="Arial" w:hAnsi="Arial"/>
          <w:b w:val="false"/>
          <w:bCs w:val="false"/>
          <w:color w:val="auto"/>
          <w:kern w:val="2"/>
          <w:sz w:val="20"/>
          <w:szCs w:val="20"/>
          <w:lang w:val="lt-LT" w:eastAsia="en-US" w:bidi="ar-SA"/>
        </w:rPr>
        <w:t xml:space="preserve">Vykdant statybos darbu būtina vadovautis želdinių apsaugos taisyklėmis patvirtintomis  2010 m. kovo 15 d. įsakymu Nr. D1-193; Klaipėdos miesto savivaldybės želdynų ir želdinių apsaugos taisyklių, patvirtintų Klaipėdos miesto savivaldybės tarybos 2022 m. sausio 20 d. sprendimu Nr. T2-9. </w:t>
      </w:r>
    </w:p>
    <w:p>
      <w:pPr>
        <w:pStyle w:val="Normal"/>
        <w:widowControl/>
        <w:spacing w:before="0" w:after="0"/>
        <w:contextualSpacing/>
        <w:jc w:val="both"/>
        <w:rPr>
          <w:rFonts w:ascii="Arial" w:hAnsi="Arial" w:eastAsia="Calibri" w:cs="Poppins ExtraLight"/>
          <w:b w:val="false"/>
          <w:bCs w:val="false"/>
          <w:kern w:val="2"/>
          <w:sz w:val="20"/>
          <w:szCs w:val="20"/>
          <w:lang w:val="lt-LT" w:eastAsia="en-US" w:bidi="ar-SA"/>
        </w:rPr>
      </w:pPr>
      <w:r>
        <w:rPr>
          <w:rFonts w:eastAsia="Calibri" w:cs="Poppins ExtraLight" w:ascii="Arial" w:hAnsi="Arial"/>
          <w:b w:val="false"/>
          <w:bCs w:val="false"/>
          <w:kern w:val="2"/>
          <w:sz w:val="20"/>
          <w:szCs w:val="20"/>
          <w:lang w:val="lt-LT" w:eastAsia="en-US" w:bidi="ar-SA"/>
        </w:rPr>
      </w:r>
    </w:p>
    <w:p>
      <w:pPr>
        <w:pStyle w:val="Paprtekstas"/>
        <w:widowControl/>
        <w:suppressAutoHyphens w:val="true"/>
        <w:bidi w:val="0"/>
        <w:spacing w:lineRule="auto" w:line="276" w:before="0" w:after="120"/>
        <w:rPr>
          <w:color w:val="auto"/>
        </w:rPr>
      </w:pPr>
      <w:r>
        <w:rPr>
          <w:rFonts w:eastAsia="Times New Roman" w:cs="Times New Roman"/>
          <w:b/>
          <w:bCs/>
          <w:color w:val="auto"/>
          <w:kern w:val="0"/>
          <w:sz w:val="22"/>
          <w:szCs w:val="22"/>
          <w:lang w:val="lt-LT" w:eastAsia="en-US" w:bidi="ar-SA"/>
        </w:rPr>
        <w:t>5.3. Arboristinio medžių išsaugojimo statybų metu priemonių planas</w:t>
      </w:r>
    </w:p>
    <w:p>
      <w:pPr>
        <w:pStyle w:val="Normal"/>
        <w:spacing w:before="0" w:after="0"/>
        <w:contextualSpacing/>
        <w:jc w:val="both"/>
        <w:rPr>
          <w:rFonts w:ascii="Arial" w:hAnsi="Arial" w:eastAsia="Calibri" w:cs="Poppins ExtraLight"/>
          <w:b w:val="false"/>
          <w:bCs w:val="false"/>
          <w:kern w:val="2"/>
          <w:sz w:val="20"/>
          <w:szCs w:val="20"/>
        </w:rPr>
      </w:pPr>
      <w:r>
        <w:rPr>
          <w:rFonts w:eastAsia="Calibri" w:cs="Poppins ExtraLight" w:ascii="Arial" w:hAnsi="Arial"/>
          <w:b w:val="false"/>
          <w:bCs w:val="false"/>
          <w:kern w:val="2"/>
          <w:sz w:val="20"/>
          <w:szCs w:val="20"/>
        </w:rPr>
        <w:tab/>
        <w:t>Darbo projekte nurodomos visos taikytinos priemonės, detalizuojami jų kiekiai.</w:t>
      </w:r>
    </w:p>
    <w:p>
      <w:pPr>
        <w:pStyle w:val="Normal"/>
        <w:spacing w:before="0" w:after="0"/>
        <w:contextualSpacing/>
        <w:jc w:val="both"/>
        <w:rPr>
          <w:rFonts w:ascii="Arial" w:hAnsi="Arial" w:eastAsia="Calibri" w:cs="Poppins ExtraLight"/>
          <w:b w:val="false"/>
          <w:bCs w:val="false"/>
          <w:kern w:val="2"/>
          <w:sz w:val="20"/>
          <w:szCs w:val="20"/>
        </w:rPr>
      </w:pPr>
      <w:r>
        <w:rPr>
          <w:rFonts w:eastAsia="Calibri" w:cs="Poppins ExtraLight" w:ascii="Arial" w:hAnsi="Arial"/>
          <w:b w:val="false"/>
          <w:bCs w:val="false"/>
          <w:kern w:val="2"/>
          <w:sz w:val="20"/>
          <w:szCs w:val="20"/>
        </w:rPr>
        <w:tab/>
        <w:t>Priemonių įgyvendinimo grafikas, kuriame detalizuojamas priemonių prieš, per ir po statybų atlikimo terminai.</w:t>
      </w:r>
    </w:p>
    <w:p>
      <w:pPr>
        <w:pStyle w:val="Normal"/>
        <w:spacing w:before="0" w:after="0"/>
        <w:contextualSpacing/>
        <w:jc w:val="both"/>
        <w:rPr>
          <w:rFonts w:ascii="Arial" w:hAnsi="Arial" w:eastAsia="Calibri" w:cs="Poppins ExtraLight"/>
          <w:b w:val="false"/>
          <w:bCs w:val="false"/>
          <w:kern w:val="2"/>
          <w:sz w:val="20"/>
          <w:szCs w:val="20"/>
        </w:rPr>
      </w:pPr>
      <w:r>
        <w:rPr>
          <w:rFonts w:eastAsia="Calibri" w:cs="Poppins ExtraLight" w:ascii="Arial" w:hAnsi="Arial"/>
          <w:b w:val="false"/>
          <w:bCs w:val="false"/>
          <w:kern w:val="2"/>
          <w:sz w:val="20"/>
          <w:szCs w:val="20"/>
        </w:rPr>
        <w:tab/>
        <w:t>Priemonių detalizacija sklypo planą. Nurodomos šaknų redukcinių tranšėjų vietos, apsauginių tvorų vietos, mulčiavimo plotai ir kita informacija.</w:t>
      </w:r>
    </w:p>
    <w:p>
      <w:pPr>
        <w:pStyle w:val="Normal"/>
        <w:spacing w:before="0" w:after="0"/>
        <w:contextualSpacing/>
        <w:jc w:val="both"/>
        <w:rPr>
          <w:rFonts w:ascii="Arial" w:hAnsi="Arial" w:eastAsia="Calibri" w:cs="Poppins ExtraLight"/>
          <w:b w:val="false"/>
          <w:bCs w:val="false"/>
          <w:kern w:val="2"/>
          <w:sz w:val="20"/>
          <w:szCs w:val="20"/>
        </w:rPr>
      </w:pPr>
      <w:r>
        <w:rPr>
          <w:rFonts w:eastAsia="Calibri" w:cs="Poppins ExtraLight" w:ascii="Arial" w:hAnsi="Arial"/>
          <w:b w:val="false"/>
          <w:bCs w:val="false"/>
          <w:kern w:val="2"/>
          <w:sz w:val="20"/>
          <w:szCs w:val="20"/>
        </w:rPr>
        <w:tab/>
        <w:t>Tipinės priemonių įgyvendinimo schemos. Pavyzdžiui redukcinės tranšėjos įrengimo it kt.</w:t>
      </w:r>
    </w:p>
    <w:p>
      <w:pPr>
        <w:pStyle w:val="Normal"/>
        <w:spacing w:before="0" w:after="0"/>
        <w:contextualSpacing/>
        <w:jc w:val="both"/>
        <w:rPr>
          <w:rFonts w:ascii="Arial" w:hAnsi="Arial" w:eastAsia="Calibri" w:cs="Poppins ExtraLight"/>
          <w:b w:val="false"/>
          <w:bCs w:val="false"/>
          <w:kern w:val="2"/>
          <w:sz w:val="20"/>
          <w:szCs w:val="20"/>
        </w:rPr>
      </w:pPr>
      <w:r>
        <w:rPr>
          <w:rFonts w:eastAsia="Calibri" w:cs="Poppins ExtraLight" w:ascii="Arial" w:hAnsi="Arial"/>
          <w:b w:val="false"/>
          <w:bCs w:val="false"/>
          <w:kern w:val="2"/>
          <w:sz w:val="20"/>
          <w:szCs w:val="20"/>
        </w:rPr>
      </w:r>
    </w:p>
    <w:p>
      <w:pPr>
        <w:pStyle w:val="Paprtekstas"/>
        <w:widowControl/>
        <w:suppressAutoHyphens w:val="true"/>
        <w:bidi w:val="0"/>
        <w:spacing w:lineRule="auto" w:line="276" w:before="0" w:after="120"/>
        <w:rPr>
          <w:color w:val="auto"/>
        </w:rPr>
      </w:pPr>
      <w:r>
        <w:rPr>
          <w:rFonts w:eastAsia="Times New Roman" w:cs="Times New Roman"/>
          <w:b/>
          <w:bCs/>
          <w:color w:val="auto"/>
          <w:kern w:val="0"/>
          <w:sz w:val="22"/>
          <w:szCs w:val="22"/>
          <w:lang w:val="lt-LT" w:eastAsia="en-US" w:bidi="ar-SA"/>
        </w:rPr>
        <w:t>5.4. Reikalavimai gruntui</w:t>
      </w:r>
    </w:p>
    <w:p>
      <w:pPr>
        <w:pStyle w:val="Normal"/>
        <w:spacing w:before="0" w:after="0"/>
        <w:contextualSpacing/>
        <w:jc w:val="both"/>
        <w:rPr>
          <w:rFonts w:ascii="Arial" w:hAnsi="Arial" w:eastAsia="Calibri" w:cs="Poppins ExtraLight"/>
          <w:b w:val="false"/>
          <w:bCs w:val="false"/>
          <w:kern w:val="2"/>
          <w:sz w:val="20"/>
          <w:szCs w:val="20"/>
        </w:rPr>
      </w:pPr>
      <w:r>
        <w:rPr>
          <w:rFonts w:eastAsia="Calibri" w:cs="Poppins ExtraLight" w:ascii="Arial" w:hAnsi="Arial"/>
          <w:b w:val="false"/>
          <w:bCs w:val="false"/>
          <w:kern w:val="2"/>
          <w:sz w:val="20"/>
          <w:szCs w:val="20"/>
        </w:rPr>
        <w:tab/>
        <w:t xml:space="preserve">Dekoratyvinių augalų, medžių bei vejos sodinimui būtinas naujo grunto įrengimas/papildymas (Žr. Priedas Nr. 1). </w:t>
      </w:r>
    </w:p>
    <w:p>
      <w:pPr>
        <w:pStyle w:val="Normal"/>
        <w:spacing w:before="0" w:after="0"/>
        <w:contextualSpacing/>
        <w:jc w:val="both"/>
        <w:rPr/>
      </w:pPr>
      <w:r>
        <w:rPr>
          <w:rFonts w:eastAsia="Calibri" w:cs="Poppins ExtraLight" w:ascii="Arial" w:hAnsi="Arial"/>
          <w:b w:val="false"/>
          <w:bCs w:val="false"/>
          <w:kern w:val="2"/>
          <w:sz w:val="20"/>
          <w:szCs w:val="20"/>
        </w:rPr>
        <w:tab/>
        <w:t xml:space="preserve">Rangovas turi įvertinti papildomo grunto atvežimą į planuojamą teritoriją. Atvežtinis gruntas privalo atitikti Valstybinės visuomenės sveikatos priežiūros tarnybos prie sveikatos apsaugos ministerijos reikalaujamus kokybės standartus substratui visuomenei prieinamose zonose. Pareikalavus, rangovas privalo atlikti substrato cheminius ir parazitologinius tyrimus Valstybinės visuomenės sveikatos priežiūros tarnybos prie sveikatos apsaugos ministerijos atestuotoje laboratorijoje. </w:t>
      </w:r>
      <w:r>
        <w:rPr>
          <w:rStyle w:val="BodyTextChar"/>
          <w:rFonts w:eastAsia="Calibri" w:cs="Poppins ExtraLight" w:ascii="Arial" w:hAnsi="Arial"/>
          <w:b w:val="false"/>
          <w:bCs w:val="false"/>
          <w:kern w:val="2"/>
          <w:sz w:val="20"/>
          <w:szCs w:val="20"/>
        </w:rPr>
        <w:t>Substratas privalo būti neužterštas statybinėmis medžiagomis, podirvio žemėmis. Substrate privalo nebūti, piktžolių ar augalams žalingų chemikalų.</w:t>
      </w:r>
      <w:r>
        <w:rPr>
          <w:rFonts w:eastAsia="Calibri" w:cs="Poppins ExtraLight" w:ascii="Arial" w:hAnsi="Arial"/>
          <w:b w:val="false"/>
          <w:bCs w:val="false"/>
          <w:kern w:val="2"/>
          <w:sz w:val="20"/>
          <w:szCs w:val="20"/>
        </w:rPr>
        <w:t xml:space="preserve"> Užsakovas pasilieka teisę atmesti įvežtinį gruntą iš konkrečių tiekėjų, jei jis neatitiks aukščiau išvardintų sąlygų. Sodinimo vietose paskleistas substratas išlyginamas, iš jo pašalinami akmenys ir grumstai, didesni nei 25 mm. </w:t>
      </w:r>
    </w:p>
    <w:p>
      <w:pPr>
        <w:pStyle w:val="Paprtekstas"/>
        <w:widowControl/>
        <w:suppressAutoHyphens w:val="true"/>
        <w:bidi w:val="0"/>
        <w:spacing w:lineRule="auto" w:line="276" w:before="0" w:after="120"/>
        <w:rPr>
          <w:color w:val="auto"/>
        </w:rPr>
      </w:pPr>
      <w:r>
        <w:rPr>
          <w:color w:val="auto"/>
        </w:rPr>
      </w:r>
    </w:p>
    <w:p>
      <w:pPr>
        <w:pStyle w:val="Paprtekstas"/>
        <w:widowControl/>
        <w:suppressAutoHyphens w:val="true"/>
        <w:bidi w:val="0"/>
        <w:spacing w:lineRule="auto" w:line="276" w:before="0" w:after="120"/>
        <w:rPr>
          <w:color w:val="auto"/>
        </w:rPr>
      </w:pPr>
      <w:r>
        <w:rPr>
          <w:rFonts w:eastAsia="Times New Roman" w:cs="Times New Roman"/>
          <w:b/>
          <w:bCs/>
          <w:color w:val="auto"/>
          <w:kern w:val="0"/>
          <w:sz w:val="22"/>
          <w:szCs w:val="22"/>
          <w:lang w:val="lt-LT" w:eastAsia="en-US" w:bidi="ar-SA"/>
        </w:rPr>
        <w:t>5.4. Želdinių pristatymas ir laikymas</w:t>
      </w:r>
    </w:p>
    <w:p>
      <w:pPr>
        <w:pStyle w:val="Normal"/>
        <w:spacing w:before="0" w:after="0"/>
        <w:contextualSpacing/>
        <w:jc w:val="both"/>
        <w:rPr>
          <w:rFonts w:ascii="Arial" w:hAnsi="Arial" w:eastAsia="Calibri" w:cs="Poppins ExtraLight"/>
          <w:b w:val="false"/>
          <w:bCs w:val="false"/>
          <w:kern w:val="2"/>
          <w:sz w:val="20"/>
          <w:szCs w:val="20"/>
        </w:rPr>
      </w:pPr>
      <w:r>
        <w:rPr>
          <w:rFonts w:eastAsia="Calibri" w:cs="Poppins ExtraLight" w:ascii="Arial" w:hAnsi="Arial"/>
          <w:b w:val="false"/>
          <w:bCs w:val="false"/>
          <w:kern w:val="2"/>
          <w:sz w:val="20"/>
          <w:szCs w:val="20"/>
        </w:rPr>
        <w:tab/>
        <w:t>Želdiniai privalo būti pasodinti tą pačią dieną, po pristatymo. Jeigu darbų apimtys didelės ir visų želdinių per dieną susodinti nėra galimybės,  į projekto vietą pristatyti želdiniai privalo būti laikomi pavėsyje, jų šaknys pridengtos orui laidžia austine medžiaga, neleidžiančia šaknims išdžiūti, augalai laistomi.</w:t>
      </w:r>
    </w:p>
    <w:p>
      <w:pPr>
        <w:pStyle w:val="Normal"/>
        <w:widowControl/>
        <w:spacing w:before="0" w:after="0"/>
        <w:contextualSpacing/>
        <w:rPr>
          <w:rFonts w:ascii="Arial" w:hAnsi="Arial" w:eastAsia="Times New Roman" w:cs="Times New Roman"/>
          <w:b/>
          <w:bCs/>
          <w:color w:val="auto"/>
          <w:kern w:val="0"/>
          <w:sz w:val="22"/>
          <w:szCs w:val="22"/>
          <w:lang w:val="lt-LT" w:eastAsia="en-US" w:bidi="ar-SA"/>
        </w:rPr>
      </w:pPr>
      <w:r>
        <w:rPr>
          <w:rFonts w:eastAsia="Times New Roman" w:cs="Times New Roman" w:ascii="Arial" w:hAnsi="Arial"/>
          <w:b/>
          <w:bCs/>
          <w:color w:val="auto"/>
          <w:kern w:val="0"/>
          <w:sz w:val="22"/>
          <w:szCs w:val="22"/>
          <w:lang w:val="lt-LT" w:eastAsia="en-US" w:bidi="ar-SA"/>
        </w:rPr>
      </w:r>
    </w:p>
    <w:p>
      <w:pPr>
        <w:pStyle w:val="Paprtekstas"/>
        <w:widowControl/>
        <w:suppressAutoHyphens w:val="true"/>
        <w:bidi w:val="0"/>
        <w:spacing w:lineRule="auto" w:line="276" w:before="0" w:after="120"/>
        <w:rPr>
          <w:color w:val="auto"/>
        </w:rPr>
      </w:pPr>
      <w:r>
        <w:rPr>
          <w:rFonts w:eastAsia="Times New Roman" w:cs="Times New Roman"/>
          <w:b/>
          <w:bCs/>
          <w:color w:val="auto"/>
          <w:kern w:val="0"/>
          <w:sz w:val="22"/>
          <w:szCs w:val="22"/>
        </w:rPr>
        <w:t>5.5. Medžių ir krūmų sodinimas</w:t>
      </w:r>
    </w:p>
    <w:p>
      <w:pPr>
        <w:pStyle w:val="Normal"/>
        <w:spacing w:before="0" w:after="0"/>
        <w:contextualSpacing/>
        <w:jc w:val="both"/>
        <w:rPr>
          <w:rFonts w:ascii="Arial" w:hAnsi="Arial" w:eastAsia="Calibri" w:cs="Poppins ExtraLight"/>
          <w:b w:val="false"/>
          <w:bCs w:val="false"/>
          <w:kern w:val="2"/>
          <w:sz w:val="20"/>
          <w:szCs w:val="20"/>
        </w:rPr>
      </w:pPr>
      <w:r>
        <w:rPr>
          <w:rFonts w:eastAsia="Calibri" w:cs="Poppins ExtraLight" w:ascii="Arial" w:hAnsi="Arial"/>
          <w:b w:val="false"/>
          <w:bCs w:val="false"/>
          <w:kern w:val="2"/>
          <w:sz w:val="20"/>
          <w:szCs w:val="20"/>
        </w:rPr>
        <w:t xml:space="preserve">Vietas, kuriose numatyta sodinti augalus būtina papildyti nauju gruntu. </w:t>
      </w:r>
    </w:p>
    <w:p>
      <w:pPr>
        <w:pStyle w:val="Normal"/>
        <w:spacing w:before="0" w:after="0"/>
        <w:contextualSpacing/>
        <w:jc w:val="both"/>
        <w:rPr>
          <w:rFonts w:ascii="Arial" w:hAnsi="Arial" w:eastAsia="Calibri" w:cs="Poppins ExtraLight"/>
          <w:b w:val="false"/>
          <w:bCs w:val="false"/>
          <w:kern w:val="2"/>
          <w:sz w:val="20"/>
          <w:szCs w:val="20"/>
        </w:rPr>
      </w:pPr>
      <w:r>
        <w:rPr>
          <w:rFonts w:eastAsia="Calibri" w:cs="Poppins ExtraLight" w:ascii="Arial" w:hAnsi="Arial"/>
          <w:b w:val="false"/>
          <w:bCs w:val="false"/>
          <w:kern w:val="2"/>
          <w:sz w:val="20"/>
          <w:szCs w:val="20"/>
        </w:rPr>
        <w:t>Veisiant medžius ir krūmus, jie gali būti sodinami:</w:t>
      </w:r>
    </w:p>
    <w:p>
      <w:pPr>
        <w:pStyle w:val="Normal"/>
        <w:spacing w:before="0" w:after="0"/>
        <w:contextualSpacing/>
        <w:jc w:val="both"/>
        <w:rPr>
          <w:rFonts w:ascii="Arial" w:hAnsi="Arial" w:eastAsia="Calibri" w:cs="Poppins ExtraLight"/>
          <w:b w:val="false"/>
          <w:bCs w:val="false"/>
          <w:kern w:val="2"/>
          <w:sz w:val="20"/>
          <w:szCs w:val="20"/>
        </w:rPr>
      </w:pPr>
      <w:r>
        <w:rPr>
          <w:rFonts w:eastAsia="Calibri" w:cs="Poppins ExtraLight" w:ascii="Arial" w:hAnsi="Arial"/>
          <w:b w:val="false"/>
          <w:bCs w:val="false"/>
          <w:kern w:val="2"/>
          <w:sz w:val="20"/>
          <w:szCs w:val="20"/>
        </w:rPr>
        <w:t>su šaknų sistema, susiformavusia konteineriuose, juos išimant iš konteinerių;</w:t>
      </w:r>
    </w:p>
    <w:p>
      <w:pPr>
        <w:pStyle w:val="Normal"/>
        <w:spacing w:before="0" w:after="0"/>
        <w:contextualSpacing/>
        <w:jc w:val="both"/>
        <w:rPr>
          <w:rFonts w:ascii="Arial" w:hAnsi="Arial" w:eastAsia="Calibri" w:cs="Poppins ExtraLight"/>
          <w:b w:val="false"/>
          <w:bCs w:val="false"/>
          <w:kern w:val="2"/>
          <w:sz w:val="20"/>
          <w:szCs w:val="20"/>
        </w:rPr>
      </w:pPr>
      <w:r>
        <w:rPr>
          <w:rFonts w:eastAsia="Calibri" w:cs="Poppins ExtraLight" w:ascii="Arial" w:hAnsi="Arial"/>
          <w:b w:val="false"/>
          <w:bCs w:val="false"/>
          <w:kern w:val="2"/>
          <w:sz w:val="20"/>
          <w:szCs w:val="20"/>
        </w:rPr>
        <w:t>su suformuotų šaknų gumulu ar plikomis šaknimis. Konteineriuose išauginti medžiai ir krūmai sodinami visu šiltuoju metų laiku, o su įpakuotomis ryšuliuose šaknimis – ne vegetacijos metu (pavasarį ir rudenį). Medžiai ir krūmai su žemių gumulais arba plikomis šaknimis sodinami ne vegetacijos metu. Sodinant visais atvejais kasamos 50 % platesnės ir gilesnės sodinimo duobės už konteinerio pakuotes, šaknų gumulų arba šaknų sistemos matmenis. Prieš sodinimą augalus būtina palaistyti. Jeigu šalia sodinamo augalo, po žeme eina komunikacijos, ar yra kitokių apribojimų šaknims laisvai plėstis, toje vietoje turi būti naudojama šaknų barjero plėvelė, kuri apsaugos komunikacijas. Duobėms užpildyti ruošiamas toks grunto mišinys: 60% sijoto augalinio grunto; 40% plauto žvirgždo, pH 6-7; Vandens pralaidumas 5-7 mm/s. Prieš sodinimą duobės dugne beriamas 20 cm storio  sluoksnis, kuris perkasamas ir sumaišomas su dugno dirvožemiu, siekiant gauti tarpinį sluoksnį. Visi medžiai, į paruoštas duobes sodinami taip: įrengiamas drenažinis 20 cm sluoksnis (naudojama skalda 16-32 mm)  ant tarpinio sluoksnio beriamas substratas, sodinamo medžio šaknies kaklelis turi būtų 5-7 cm aukščiau žemės paviršiaus; aplink šaknų gumulą,  iki 1/2–2/3 duobės aukščio ir sutankinamas (sumindomas), po to beriamas grunto mišinys iki žemės paviršiaus ir vėl sutankinamas. Pasodinus žemės paviršiuje iš augalinės žemės suformuojama duobutė (lėkštelė) ir palaistoma (20– 50 l vienam sodinukui). Pasodinti medžiai, siekiant juos apsaugoti nuo vėjo sukeliamos šaknų vibracijos sutvirtinami, šaknų gumulas sutvirtinamas inkaravimo būdu. (Žr. medžio sodinimo schema) Aplink šaknų gumulą juosiamas perforuotas plastikinis vamzdis, kurio vienas galas iškeliamas į žemės paviršių. Kai pasodintas medis nejudamai pritvirtintas ir palaistytas, žemės paviršius mulčiuojamas biriu organinės kilmės mulču. Sodinimo metu, kai reikia atkurti pusiausvyrą tarp  šaknų sistemos ir lajos, medžius ir krūmus  būtina genėti išretinant lają 30 proc.</w:t>
      </w:r>
    </w:p>
    <w:p>
      <w:pPr>
        <w:pStyle w:val="Normal"/>
        <w:spacing w:before="0" w:after="0"/>
        <w:contextualSpacing/>
        <w:jc w:val="both"/>
        <w:rPr>
          <w:rFonts w:ascii="Arial" w:hAnsi="Arial" w:eastAsia="Calibri" w:cs="Poppins ExtraLight"/>
          <w:b w:val="false"/>
          <w:bCs w:val="false"/>
          <w:kern w:val="2"/>
          <w:sz w:val="20"/>
          <w:szCs w:val="20"/>
        </w:rPr>
      </w:pPr>
      <w:r>
        <w:rPr>
          <w:rFonts w:eastAsia="Calibri" w:cs="Poppins ExtraLight" w:ascii="Arial" w:hAnsi="Arial"/>
          <w:b w:val="false"/>
          <w:bCs w:val="false"/>
          <w:kern w:val="2"/>
          <w:sz w:val="20"/>
          <w:szCs w:val="20"/>
        </w:rPr>
        <w:t>Gausus pasodintų krūmynų laistymas, apsaugant nuo išdžiūvimo, būtinas pirmosiomis savaitėmis ir pirmaisiais metais po pasodinimo.</w:t>
      </w:r>
    </w:p>
    <w:p>
      <w:pPr>
        <w:pStyle w:val="Normal"/>
        <w:spacing w:before="0" w:after="0"/>
        <w:contextualSpacing/>
        <w:jc w:val="both"/>
        <w:rPr>
          <w:rFonts w:ascii="Arial" w:hAnsi="Arial" w:eastAsia="Calibri" w:cs="Poppins ExtraLight"/>
          <w:b w:val="false"/>
          <w:bCs w:val="false"/>
          <w:kern w:val="2"/>
          <w:sz w:val="20"/>
          <w:szCs w:val="20"/>
        </w:rPr>
      </w:pPr>
      <w:r>
        <w:rPr>
          <w:rFonts w:eastAsia="Calibri" w:cs="Poppins ExtraLight" w:ascii="Arial" w:hAnsi="Arial"/>
          <w:b w:val="false"/>
          <w:bCs w:val="false"/>
          <w:kern w:val="2"/>
          <w:sz w:val="20"/>
          <w:szCs w:val="20"/>
        </w:rPr>
        <w:t>Krūmų grupes sodinti pagal koordinates DWG formato byloje Želdinių planas</w:t>
      </w:r>
    </w:p>
    <w:p>
      <w:pPr>
        <w:pStyle w:val="Normal"/>
        <w:spacing w:before="0" w:after="0"/>
        <w:contextualSpacing/>
        <w:jc w:val="both"/>
        <w:rPr>
          <w:rFonts w:ascii="Arial" w:hAnsi="Arial" w:eastAsia="Calibri" w:cs="Poppins ExtraLight"/>
          <w:b w:val="false"/>
          <w:bCs w:val="false"/>
          <w:kern w:val="2"/>
          <w:sz w:val="20"/>
          <w:szCs w:val="20"/>
        </w:rPr>
      </w:pPr>
      <w:r>
        <w:rPr/>
        <mc:AlternateContent>
          <mc:Choice Requires="wps">
            <w:drawing>
              <wp:inline distT="0" distB="0" distL="0" distR="0">
                <wp:extent cx="5293360" cy="2559685"/>
                <wp:effectExtent l="0" t="0" r="0" b="0"/>
                <wp:docPr id="100" name="Frame5"/>
                <a:graphic xmlns:a="http://schemas.openxmlformats.org/drawingml/2006/main">
                  <a:graphicData uri="http://schemas.microsoft.com/office/word/2010/wordprocessingShape">
                    <wps:wsp>
                      <wps:cNvSpPr/>
                      <wps:spPr>
                        <a:xfrm>
                          <a:off x="0" y="0"/>
                          <a:ext cx="5293440" cy="2559600"/>
                        </a:xfrm>
                        <a:prstGeom prst="rect">
                          <a:avLst/>
                        </a:prstGeom>
                        <a:solidFill>
                          <a:srgbClr val="ffffff"/>
                        </a:solidFill>
                        <a:ln w="0">
                          <a:noFill/>
                        </a:ln>
                      </wps:spPr>
                      <wps:style>
                        <a:lnRef idx="0"/>
                        <a:fillRef idx="0"/>
                        <a:effectRef idx="0"/>
                        <a:fontRef idx="minor"/>
                      </wps:style>
                      <wps:txbx>
                        <w:txbxContent>
                          <w:p>
                            <w:pPr>
                              <w:pStyle w:val="Caption"/>
                              <w:spacing w:lineRule="auto" w:line="240" w:before="0" w:after="120"/>
                              <w:ind w:hanging="0"/>
                              <w:rPr/>
                            </w:pPr>
                            <w:r>
                              <w:rPr>
                                <w:color w:val="000000"/>
                              </w:rPr>
                              <w:drawing>
                                <wp:inline distT="0" distB="0" distL="0" distR="0">
                                  <wp:extent cx="5293360" cy="2413635"/>
                                  <wp:effectExtent l="0" t="0" r="0" b="0"/>
                                  <wp:docPr id="1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
                                          <pic:cNvPicPr>
                                            <a:picLocks noChangeAspect="1" noChangeArrowheads="1"/>
                                          </pic:cNvPicPr>
                                        </pic:nvPicPr>
                                        <pic:blipFill>
                                          <a:blip r:embed="rId99"/>
                                          <a:stretch>
                                            <a:fillRect/>
                                          </a:stretch>
                                        </pic:blipFill>
                                        <pic:spPr bwMode="auto">
                                          <a:xfrm>
                                            <a:off x="0" y="0"/>
                                            <a:ext cx="5293360" cy="2413635"/>
                                          </a:xfrm>
                                          <a:prstGeom prst="rect">
                                            <a:avLst/>
                                          </a:prstGeom>
                                          <a:noFill/>
                                        </pic:spPr>
                                      </pic:pic>
                                    </a:graphicData>
                                  </a:graphic>
                                </wp:inline>
                              </w:drawing>
                            </w:r>
                            <w:r>
                              <w:rPr>
                                <w:color w:val="000000"/>
                              </w:rPr>
                              <w:t>Krūmų sodinimo schema</w:t>
                            </w:r>
                          </w:p>
                        </w:txbxContent>
                      </wps:txbx>
                      <wps:bodyPr lIns="0" rIns="0" tIns="0" bIns="0" anchor="t">
                        <a:noAutofit/>
                      </wps:bodyPr>
                    </wps:wsp>
                  </a:graphicData>
                </a:graphic>
              </wp:inline>
            </w:drawing>
          </mc:Choice>
          <mc:Fallback>
            <w:pict>
              <v:rect id="shape_0" ID="Frame5" path="m0,0l-2147483645,0l-2147483645,-2147483646l0,-2147483646xe" fillcolor="white" stroked="f" o:allowincell="f" style="position:absolute;margin-left:0pt;margin-top:-201.6pt;width:416.75pt;height:201.5pt;mso-wrap-style:square;v-text-anchor:top;mso-position-vertical:top">
                <v:fill o:detectmouseclick="t" type="solid" color2="black"/>
                <v:stroke color="#3465a4" joinstyle="round" endcap="flat"/>
                <v:textbox>
                  <w:txbxContent>
                    <w:p>
                      <w:pPr>
                        <w:pStyle w:val="Caption"/>
                        <w:spacing w:lineRule="auto" w:line="240" w:before="0" w:after="120"/>
                        <w:ind w:hanging="0"/>
                        <w:rPr/>
                      </w:pPr>
                      <w:r>
                        <w:rPr>
                          <w:color w:val="000000"/>
                        </w:rPr>
                        <w:drawing>
                          <wp:inline distT="0" distB="0" distL="0" distR="0">
                            <wp:extent cx="5293360" cy="2413635"/>
                            <wp:effectExtent l="0" t="0" r="0" b="0"/>
                            <wp:docPr id="1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
                                    <pic:cNvPicPr>
                                      <a:picLocks noChangeAspect="1" noChangeArrowheads="1"/>
                                    </pic:cNvPicPr>
                                  </pic:nvPicPr>
                                  <pic:blipFill>
                                    <a:blip r:embed="rId100"/>
                                    <a:stretch>
                                      <a:fillRect/>
                                    </a:stretch>
                                  </pic:blipFill>
                                  <pic:spPr bwMode="auto">
                                    <a:xfrm>
                                      <a:off x="0" y="0"/>
                                      <a:ext cx="5293360" cy="2413635"/>
                                    </a:xfrm>
                                    <a:prstGeom prst="rect">
                                      <a:avLst/>
                                    </a:prstGeom>
                                    <a:noFill/>
                                  </pic:spPr>
                                </pic:pic>
                              </a:graphicData>
                            </a:graphic>
                          </wp:inline>
                        </w:drawing>
                      </w:r>
                      <w:r>
                        <w:rPr>
                          <w:color w:val="000000"/>
                        </w:rPr>
                        <w:t>Krūmų sodinimo schema</w:t>
                      </w:r>
                    </w:p>
                  </w:txbxContent>
                </v:textbox>
                <w10:wrap type="square"/>
              </v:rect>
            </w:pict>
          </mc:Fallback>
        </mc:AlternateContent>
      </w:r>
    </w:p>
    <w:p>
      <w:pPr>
        <w:pStyle w:val="Normal"/>
        <w:spacing w:before="0" w:after="0"/>
        <w:contextualSpacing/>
        <w:jc w:val="both"/>
        <w:rPr>
          <w:rFonts w:ascii="Arial" w:hAnsi="Arial" w:eastAsia="Calibri" w:cs="Poppins ExtraLight"/>
          <w:b w:val="false"/>
          <w:bCs w:val="false"/>
          <w:kern w:val="2"/>
          <w:sz w:val="20"/>
          <w:szCs w:val="20"/>
        </w:rPr>
      </w:pPr>
      <w:r>
        <w:rPr>
          <w:rFonts w:eastAsia="Calibri" w:cs="Poppins ExtraLight" w:ascii="Arial" w:hAnsi="Arial"/>
          <w:b w:val="false"/>
          <w:bCs w:val="false"/>
          <w:kern w:val="2"/>
          <w:sz w:val="20"/>
          <w:szCs w:val="20"/>
        </w:rPr>
        <mc:AlternateContent>
          <mc:Choice Requires="wps">
            <w:drawing>
              <wp:anchor behindDoc="0" distT="0" distB="0" distL="107315" distR="107315" simplePos="0" locked="0" layoutInCell="0" allowOverlap="1" relativeHeight="164">
                <wp:simplePos x="0" y="0"/>
                <wp:positionH relativeFrom="column">
                  <wp:posOffset>154940</wp:posOffset>
                </wp:positionH>
                <wp:positionV relativeFrom="paragraph">
                  <wp:posOffset>168910</wp:posOffset>
                </wp:positionV>
                <wp:extent cx="5285105" cy="2434590"/>
                <wp:effectExtent l="0" t="0" r="0" b="0"/>
                <wp:wrapTopAndBottom/>
                <wp:docPr id="103" name="Frame6"/>
                <a:graphic xmlns:a="http://schemas.openxmlformats.org/drawingml/2006/main">
                  <a:graphicData uri="http://schemas.microsoft.com/office/word/2010/wordprocessingShape">
                    <wps:wsp>
                      <wps:cNvSpPr/>
                      <wps:spPr>
                        <a:xfrm>
                          <a:off x="0" y="0"/>
                          <a:ext cx="5285160" cy="2434680"/>
                        </a:xfrm>
                        <a:prstGeom prst="rect">
                          <a:avLst/>
                        </a:prstGeom>
                        <a:solidFill>
                          <a:srgbClr val="ffffff"/>
                        </a:solidFill>
                        <a:ln w="0">
                          <a:noFill/>
                        </a:ln>
                      </wps:spPr>
                      <wps:style>
                        <a:lnRef idx="0"/>
                        <a:fillRef idx="0"/>
                        <a:effectRef idx="0"/>
                        <a:fontRef idx="minor"/>
                      </wps:style>
                      <wps:txbx>
                        <w:txbxContent>
                          <w:p>
                            <w:pPr>
                              <w:pStyle w:val="Caption"/>
                              <w:spacing w:lineRule="auto" w:line="240" w:before="0" w:after="120"/>
                              <w:ind w:hanging="0"/>
                              <w:rPr/>
                            </w:pPr>
                            <w:r>
                              <w:rPr>
                                <w:color w:val="000000"/>
                              </w:rPr>
                              <w:drawing>
                                <wp:inline distT="0" distB="0" distL="0" distR="0">
                                  <wp:extent cx="5285105" cy="2288540"/>
                                  <wp:effectExtent l="0" t="0" r="0" b="0"/>
                                  <wp:docPr id="104" name="Image2 Copy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2 Copy 5"/>
                                          <pic:cNvPicPr>
                                            <a:picLocks noChangeAspect="1" noChangeArrowheads="1"/>
                                          </pic:cNvPicPr>
                                        </pic:nvPicPr>
                                        <pic:blipFill>
                                          <a:blip r:embed="rId101"/>
                                          <a:stretch>
                                            <a:fillRect/>
                                          </a:stretch>
                                        </pic:blipFill>
                                        <pic:spPr bwMode="auto">
                                          <a:xfrm>
                                            <a:off x="0" y="0"/>
                                            <a:ext cx="5285105" cy="2288540"/>
                                          </a:xfrm>
                                          <a:prstGeom prst="rect">
                                            <a:avLst/>
                                          </a:prstGeom>
                                          <a:noFill/>
                                        </pic:spPr>
                                      </pic:pic>
                                    </a:graphicData>
                                  </a:graphic>
                                </wp:inline>
                              </w:drawing>
                            </w:r>
                            <w:r>
                              <w:rPr>
                                <w:color w:val="000000"/>
                              </w:rPr>
                              <w:t>Krūnų sodinimo atstumai nuo borto kraštų</w:t>
                            </w:r>
                          </w:p>
                        </w:txbxContent>
                      </wps:txbx>
                      <wps:bodyPr lIns="0" rIns="0" tIns="0" bIns="0" anchor="t">
                        <a:noAutofit/>
                      </wps:bodyPr>
                    </wps:wsp>
                  </a:graphicData>
                </a:graphic>
              </wp:anchor>
            </w:drawing>
          </mc:Choice>
          <mc:Fallback>
            <w:pict>
              <v:rect id="shape_0" ID="Frame6" path="m0,0l-2147483645,0l-2147483645,-2147483646l0,-2147483646xe" fillcolor="white" stroked="f" o:allowincell="f" style="position:absolute;margin-left:12.2pt;margin-top:13.3pt;width:416.1pt;height:191.65pt;mso-wrap-style:square;v-text-anchor:top">
                <v:fill o:detectmouseclick="t" type="solid" color2="black"/>
                <v:stroke color="#3465a4" joinstyle="round" endcap="flat"/>
                <v:textbox>
                  <w:txbxContent>
                    <w:p>
                      <w:pPr>
                        <w:pStyle w:val="Caption"/>
                        <w:spacing w:lineRule="auto" w:line="240" w:before="0" w:after="120"/>
                        <w:ind w:hanging="0"/>
                        <w:rPr/>
                      </w:pPr>
                      <w:r>
                        <w:rPr>
                          <w:color w:val="000000"/>
                        </w:rPr>
                        <w:drawing>
                          <wp:inline distT="0" distB="0" distL="0" distR="0">
                            <wp:extent cx="5285105" cy="2288540"/>
                            <wp:effectExtent l="0" t="0" r="0" b="0"/>
                            <wp:docPr id="105" name="Image2 Copy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2 Copy 5"/>
                                    <pic:cNvPicPr>
                                      <a:picLocks noChangeAspect="1" noChangeArrowheads="1"/>
                                    </pic:cNvPicPr>
                                  </pic:nvPicPr>
                                  <pic:blipFill>
                                    <a:blip r:embed="rId102"/>
                                    <a:stretch>
                                      <a:fillRect/>
                                    </a:stretch>
                                  </pic:blipFill>
                                  <pic:spPr bwMode="auto">
                                    <a:xfrm>
                                      <a:off x="0" y="0"/>
                                      <a:ext cx="5285105" cy="2288540"/>
                                    </a:xfrm>
                                    <a:prstGeom prst="rect">
                                      <a:avLst/>
                                    </a:prstGeom>
                                    <a:noFill/>
                                  </pic:spPr>
                                </pic:pic>
                              </a:graphicData>
                            </a:graphic>
                          </wp:inline>
                        </w:drawing>
                      </w:r>
                      <w:r>
                        <w:rPr>
                          <w:color w:val="000000"/>
                        </w:rPr>
                        <w:t>Krūnų sodinimo atstumai nuo borto kraštų</w:t>
                      </w:r>
                    </w:p>
                  </w:txbxContent>
                </v:textbox>
                <w10:wrap type="topAndBottom"/>
              </v:rect>
            </w:pict>
          </mc:Fallback>
        </mc:AlternateContent>
      </w:r>
    </w:p>
    <w:p>
      <w:pPr>
        <w:pStyle w:val="Normal"/>
        <w:widowControl/>
        <w:spacing w:before="0" w:after="0"/>
        <w:contextualSpacing/>
        <w:rPr>
          <w:rFonts w:cs="Poppins ExtraLight"/>
        </w:rPr>
      </w:pPr>
      <w:r>
        <w:rPr>
          <w:rFonts w:cs="Poppins ExtraLight"/>
        </w:rPr>
      </w:r>
    </w:p>
    <w:p>
      <w:pPr>
        <w:pStyle w:val="Normal"/>
        <w:widowControl/>
        <w:spacing w:before="0" w:after="0"/>
        <w:contextualSpacing/>
        <w:rPr>
          <w:rFonts w:cs="Poppins ExtraLight"/>
        </w:rPr>
      </w:pPr>
      <w:r>
        <mc:AlternateContent>
          <mc:Choice Requires="wps">
            <w:drawing>
              <wp:anchor behindDoc="0" distT="635" distB="0" distL="114300" distR="114300" simplePos="0" locked="0" layoutInCell="0" allowOverlap="1" relativeHeight="166">
                <wp:simplePos x="0" y="0"/>
                <wp:positionH relativeFrom="column">
                  <wp:posOffset>-53975</wp:posOffset>
                </wp:positionH>
                <wp:positionV relativeFrom="paragraph">
                  <wp:posOffset>635</wp:posOffset>
                </wp:positionV>
                <wp:extent cx="3378200" cy="4937125"/>
                <wp:effectExtent l="0" t="0" r="0" b="0"/>
                <wp:wrapTight wrapText="bothSides">
                  <wp:wrapPolygon edited="0">
                    <wp:start x="0" y="0"/>
                    <wp:lineTo x="21600" y="0"/>
                    <wp:lineTo x="21600" y="21600"/>
                    <wp:lineTo x="0" y="21600"/>
                    <wp:lineTo x="0" y="0"/>
                  </wp:wrapPolygon>
                </wp:wrapTight>
                <wp:docPr id="106" name="Frame7"/>
                <a:graphic xmlns:a="http://schemas.openxmlformats.org/drawingml/2006/main">
                  <a:graphicData uri="http://schemas.microsoft.com/office/word/2010/wordprocessingShape">
                    <wps:wsp>
                      <wps:cNvSpPr/>
                      <wps:spPr>
                        <a:xfrm>
                          <a:off x="0" y="0"/>
                          <a:ext cx="3378240" cy="4937040"/>
                        </a:xfrm>
                        <a:prstGeom prst="rect">
                          <a:avLst/>
                        </a:prstGeom>
                        <a:solidFill>
                          <a:srgbClr val="ffffff"/>
                        </a:solidFill>
                        <a:ln w="0">
                          <a:noFill/>
                        </a:ln>
                      </wps:spPr>
                      <wps:style>
                        <a:lnRef idx="0"/>
                        <a:fillRef idx="0"/>
                        <a:effectRef idx="0"/>
                        <a:fontRef idx="minor"/>
                      </wps:style>
                      <wps:txbx>
                        <w:txbxContent>
                          <w:p>
                            <w:pPr>
                              <w:pStyle w:val="Caption"/>
                              <w:spacing w:lineRule="auto" w:line="240" w:before="0" w:after="120"/>
                              <w:ind w:hanging="0"/>
                              <w:rPr/>
                            </w:pPr>
                            <w:r>
                              <w:rPr>
                                <w:color w:val="000000"/>
                              </w:rPr>
                              <w:drawing>
                                <wp:inline distT="0" distB="0" distL="0" distR="0">
                                  <wp:extent cx="3378200" cy="4791075"/>
                                  <wp:effectExtent l="0" t="0" r="0" b="0"/>
                                  <wp:docPr id="10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2"/>
                                          <pic:cNvPicPr>
                                            <a:picLocks noChangeAspect="1" noChangeArrowheads="1"/>
                                          </pic:cNvPicPr>
                                        </pic:nvPicPr>
                                        <pic:blipFill>
                                          <a:blip r:embed="rId103"/>
                                          <a:stretch>
                                            <a:fillRect/>
                                          </a:stretch>
                                        </pic:blipFill>
                                        <pic:spPr bwMode="auto">
                                          <a:xfrm>
                                            <a:off x="0" y="0"/>
                                            <a:ext cx="3378200" cy="4791075"/>
                                          </a:xfrm>
                                          <a:prstGeom prst="rect">
                                            <a:avLst/>
                                          </a:prstGeom>
                                          <a:noFill/>
                                        </pic:spPr>
                                      </pic:pic>
                                    </a:graphicData>
                                  </a:graphic>
                                </wp:inline>
                              </w:drawing>
                            </w:r>
                            <w:r>
                              <w:rPr>
                                <w:color w:val="000000"/>
                              </w:rPr>
                              <w:t>Medžių sodinimo schema</w:t>
                            </w:r>
                          </w:p>
                        </w:txbxContent>
                      </wps:txbx>
                      <wps:bodyPr lIns="0" rIns="0" tIns="0" bIns="0" anchor="t">
                        <a:noAutofit/>
                      </wps:bodyPr>
                    </wps:wsp>
                  </a:graphicData>
                </a:graphic>
              </wp:anchor>
            </w:drawing>
          </mc:Choice>
          <mc:Fallback>
            <w:pict>
              <v:rect id="shape_0" ID="Frame7" path="m0,0l-2147483645,0l-2147483645,-2147483646l0,-2147483646xe" fillcolor="white" stroked="f" o:allowincell="f" style="position:absolute;margin-left:-4.25pt;margin-top:0.05pt;width:265.95pt;height:388.7pt;mso-wrap-style:square;v-text-anchor:top">
                <v:fill o:detectmouseclick="t" type="solid" color2="black"/>
                <v:stroke color="#3465a4" joinstyle="round" endcap="flat"/>
                <v:textbox>
                  <w:txbxContent>
                    <w:p>
                      <w:pPr>
                        <w:pStyle w:val="Caption"/>
                        <w:spacing w:lineRule="auto" w:line="240" w:before="0" w:after="120"/>
                        <w:ind w:hanging="0"/>
                        <w:rPr/>
                      </w:pPr>
                      <w:r>
                        <w:rPr>
                          <w:color w:val="000000"/>
                        </w:rPr>
                        <w:drawing>
                          <wp:inline distT="0" distB="0" distL="0" distR="0">
                            <wp:extent cx="3378200" cy="4791075"/>
                            <wp:effectExtent l="0" t="0" r="0" b="0"/>
                            <wp:docPr id="1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2"/>
                                    <pic:cNvPicPr>
                                      <a:picLocks noChangeAspect="1" noChangeArrowheads="1"/>
                                    </pic:cNvPicPr>
                                  </pic:nvPicPr>
                                  <pic:blipFill>
                                    <a:blip r:embed="rId104"/>
                                    <a:stretch>
                                      <a:fillRect/>
                                    </a:stretch>
                                  </pic:blipFill>
                                  <pic:spPr bwMode="auto">
                                    <a:xfrm>
                                      <a:off x="0" y="0"/>
                                      <a:ext cx="3378200" cy="4791075"/>
                                    </a:xfrm>
                                    <a:prstGeom prst="rect">
                                      <a:avLst/>
                                    </a:prstGeom>
                                    <a:noFill/>
                                  </pic:spPr>
                                </pic:pic>
                              </a:graphicData>
                            </a:graphic>
                          </wp:inline>
                        </w:drawing>
                      </w:r>
                      <w:r>
                        <w:rPr>
                          <w:color w:val="000000"/>
                        </w:rPr>
                        <w:t>Medžių sodinimo schema</w:t>
                      </w:r>
                    </w:p>
                  </w:txbxContent>
                </v:textbox>
                <w10:wrap type="square"/>
              </v:rect>
            </w:pict>
          </mc:Fallback>
        </mc:AlternateContent>
        <mc:AlternateContent>
          <mc:Choice Requires="wps">
            <w:drawing>
              <wp:anchor behindDoc="0" distT="635" distB="0" distL="114300" distR="100330" simplePos="0" locked="0" layoutInCell="0" allowOverlap="1" relativeHeight="169">
                <wp:simplePos x="0" y="0"/>
                <wp:positionH relativeFrom="column">
                  <wp:posOffset>3449320</wp:posOffset>
                </wp:positionH>
                <wp:positionV relativeFrom="paragraph">
                  <wp:posOffset>140335</wp:posOffset>
                </wp:positionV>
                <wp:extent cx="3122295" cy="3284855"/>
                <wp:effectExtent l="0" t="0" r="0" b="0"/>
                <wp:wrapTight wrapText="bothSides">
                  <wp:wrapPolygon edited="0">
                    <wp:start x="0" y="0"/>
                    <wp:lineTo x="21600" y="0"/>
                    <wp:lineTo x="21600" y="21600"/>
                    <wp:lineTo x="0" y="21600"/>
                    <wp:lineTo x="0" y="0"/>
                  </wp:wrapPolygon>
                </wp:wrapTight>
                <wp:docPr id="109" name="Frame8"/>
                <a:graphic xmlns:a="http://schemas.openxmlformats.org/drawingml/2006/main">
                  <a:graphicData uri="http://schemas.microsoft.com/office/word/2010/wordprocessingShape">
                    <wps:wsp>
                      <wps:cNvSpPr/>
                      <wps:spPr>
                        <a:xfrm>
                          <a:off x="0" y="0"/>
                          <a:ext cx="3122280" cy="3285000"/>
                        </a:xfrm>
                        <a:prstGeom prst="rect">
                          <a:avLst/>
                        </a:prstGeom>
                        <a:solidFill>
                          <a:srgbClr val="ffffff"/>
                        </a:solidFill>
                        <a:ln w="0">
                          <a:noFill/>
                        </a:ln>
                      </wps:spPr>
                      <wps:style>
                        <a:lnRef idx="0"/>
                        <a:fillRef idx="0"/>
                        <a:effectRef idx="0"/>
                        <a:fontRef idx="minor"/>
                      </wps:style>
                      <wps:txbx>
                        <w:txbxContent>
                          <w:p>
                            <w:pPr>
                              <w:pStyle w:val="Caption"/>
                              <w:rPr/>
                            </w:pPr>
                            <w:r>
                              <w:rPr>
                                <w:color w:val="000000"/>
                              </w:rPr>
                              <w:drawing>
                                <wp:inline distT="0" distB="0" distL="0" distR="0">
                                  <wp:extent cx="3122295" cy="2770505"/>
                                  <wp:effectExtent l="0" t="0" r="0" b="0"/>
                                  <wp:docPr id="110" name="Image3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3 Copy 1"/>
                                          <pic:cNvPicPr>
                                            <a:picLocks noChangeAspect="1" noChangeArrowheads="1"/>
                                          </pic:cNvPicPr>
                                        </pic:nvPicPr>
                                        <pic:blipFill>
                                          <a:blip r:embed="rId105"/>
                                          <a:stretch>
                                            <a:fillRect/>
                                          </a:stretch>
                                        </pic:blipFill>
                                        <pic:spPr bwMode="auto">
                                          <a:xfrm>
                                            <a:off x="0" y="0"/>
                                            <a:ext cx="3122295" cy="2770505"/>
                                          </a:xfrm>
                                          <a:prstGeom prst="rect">
                                            <a:avLst/>
                                          </a:prstGeom>
                                          <a:noFill/>
                                        </pic:spPr>
                                      </pic:pic>
                                    </a:graphicData>
                                  </a:graphic>
                                </wp:inline>
                              </w:drawing>
                            </w:r>
                            <w:r>
                              <w:rPr>
                                <w:color w:val="000000"/>
                              </w:rPr>
                              <w:t>Medžių sodinimo schema (parkinge tarp automobilių)</w:t>
                            </w:r>
                          </w:p>
                          <w:p>
                            <w:pPr>
                              <w:pStyle w:val="Paprtekstas"/>
                              <w:spacing w:before="0" w:after="120"/>
                              <w:rPr>
                                <w:color w:val="000000"/>
                              </w:rPr>
                            </w:pPr>
                            <w:r>
                              <w:rPr>
                                <w:color w:val="000000"/>
                              </w:rPr>
                            </w:r>
                          </w:p>
                        </w:txbxContent>
                      </wps:txbx>
                      <wps:bodyPr lIns="0" rIns="0" tIns="0" bIns="0" anchor="t">
                        <a:noAutofit/>
                      </wps:bodyPr>
                    </wps:wsp>
                  </a:graphicData>
                </a:graphic>
              </wp:anchor>
            </w:drawing>
          </mc:Choice>
          <mc:Fallback>
            <w:pict>
              <v:rect id="shape_0" ID="Frame8" path="m0,0l-2147483645,0l-2147483645,-2147483646l0,-2147483646xe" fillcolor="white" stroked="f" o:allowincell="f" style="position:absolute;margin-left:271.6pt;margin-top:11.05pt;width:245.8pt;height:258.6pt;mso-wrap-style:square;v-text-anchor:top">
                <v:fill o:detectmouseclick="t" type="solid" color2="black"/>
                <v:stroke color="#3465a4" joinstyle="round" endcap="flat"/>
                <v:textbox>
                  <w:txbxContent>
                    <w:p>
                      <w:pPr>
                        <w:pStyle w:val="Caption"/>
                        <w:rPr/>
                      </w:pPr>
                      <w:r>
                        <w:rPr>
                          <w:color w:val="000000"/>
                        </w:rPr>
                        <w:drawing>
                          <wp:inline distT="0" distB="0" distL="0" distR="0">
                            <wp:extent cx="3122295" cy="2770505"/>
                            <wp:effectExtent l="0" t="0" r="0" b="0"/>
                            <wp:docPr id="111" name="Image3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Image3 Copy 1"/>
                                    <pic:cNvPicPr>
                                      <a:picLocks noChangeAspect="1" noChangeArrowheads="1"/>
                                    </pic:cNvPicPr>
                                  </pic:nvPicPr>
                                  <pic:blipFill>
                                    <a:blip r:embed="rId106"/>
                                    <a:stretch>
                                      <a:fillRect/>
                                    </a:stretch>
                                  </pic:blipFill>
                                  <pic:spPr bwMode="auto">
                                    <a:xfrm>
                                      <a:off x="0" y="0"/>
                                      <a:ext cx="3122295" cy="2770505"/>
                                    </a:xfrm>
                                    <a:prstGeom prst="rect">
                                      <a:avLst/>
                                    </a:prstGeom>
                                    <a:noFill/>
                                  </pic:spPr>
                                </pic:pic>
                              </a:graphicData>
                            </a:graphic>
                          </wp:inline>
                        </w:drawing>
                      </w:r>
                      <w:r>
                        <w:rPr>
                          <w:color w:val="000000"/>
                        </w:rPr>
                        <w:t>Medžių sodinimo schema (parkinge tarp automobilių)</w:t>
                      </w:r>
                    </w:p>
                    <w:p>
                      <w:pPr>
                        <w:pStyle w:val="Paprtekstas"/>
                        <w:spacing w:before="0" w:after="120"/>
                        <w:rPr>
                          <w:color w:val="000000"/>
                        </w:rPr>
                      </w:pPr>
                      <w:r>
                        <w:rPr>
                          <w:color w:val="000000"/>
                        </w:rPr>
                      </w:r>
                    </w:p>
                  </w:txbxContent>
                </v:textbox>
                <w10:wrap type="square"/>
              </v:rect>
            </w:pict>
          </mc:Fallback>
        </mc:AlternateContent>
      </w:r>
      <w:r>
        <w:rPr>
          <w:rFonts w:eastAsia="Times New Roman" w:cs="Times New Roman" w:ascii="Arial" w:hAnsi="Arial"/>
          <w:b/>
          <w:bCs/>
          <w:color w:val="auto"/>
          <w:kern w:val="0"/>
          <w:sz w:val="22"/>
          <w:szCs w:val="22"/>
          <w:lang w:val="lt-LT" w:eastAsia="en-US" w:bidi="ar-SA"/>
        </w:rPr>
        <w:t>5.6. Medžių kamienų apsauga naujai sodinamiems medžiams</w:t>
      </w:r>
    </w:p>
    <w:p>
      <w:pPr>
        <w:pStyle w:val="Normal"/>
        <w:widowControl/>
        <w:spacing w:before="0" w:after="0"/>
        <w:contextualSpacing/>
        <w:rPr>
          <w:rFonts w:cs="Poppins ExtraLight"/>
        </w:rPr>
      </w:pPr>
      <w:r>
        <w:rPr>
          <w:rFonts w:cs="Poppins ExtraLight"/>
        </w:rPr>
      </w:r>
    </w:p>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t xml:space="preserve">Medžiaga - Bambukas </w:t>
      </w:r>
    </w:p>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t xml:space="preserve">Aukštis: 180 cm  </w:t>
      </w:r>
    </w:p>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t>Natūrali bambuko kamieno apsauga – efektyvi priemonė nuo saulės poveikio ir terminio streso</w:t>
      </w:r>
    </w:p>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t>Kraštovaizdžio tvarkyme ir arboristikoje natūrali bambuko kamieno apsauga yra tvarus ir efektyvus sprendimas, siekiant apsaugoti medžių žievę nuo saulės nudegimo bei su tuo susijusių fiziologinių pažeidimų. Dėl sausros sukeliamos įtampos ir intensyvios saulės bei UV spindulių poveikio, ypač plonos žievės medžiuose gali atsirasti audinių nekrozė, lemianti žievės pažeidimus ir sutrikdytą vandens bei maisto medžiagų apytaką.</w:t>
      </w:r>
    </w:p>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t>Kadangi saulės nudegimo poveikis ne visuomet pastebim</w:t>
      </w:r>
      <w:r>
        <w:drawing>
          <wp:anchor behindDoc="0" distT="0" distB="0" distL="114300" distR="114300" simplePos="0" locked="0" layoutInCell="0" allowOverlap="1" relativeHeight="186">
            <wp:simplePos x="0" y="0"/>
            <wp:positionH relativeFrom="column">
              <wp:posOffset>3805555</wp:posOffset>
            </wp:positionH>
            <wp:positionV relativeFrom="paragraph">
              <wp:posOffset>288290</wp:posOffset>
            </wp:positionV>
            <wp:extent cx="2695575" cy="1410970"/>
            <wp:effectExtent l="0" t="0" r="0" b="0"/>
            <wp:wrapTight wrapText="bothSides">
              <wp:wrapPolygon edited="0">
                <wp:start x="-16" y="0"/>
                <wp:lineTo x="-16" y="21270"/>
                <wp:lineTo x="21515" y="21270"/>
                <wp:lineTo x="21515" y="0"/>
                <wp:lineTo x="-16" y="0"/>
              </wp:wrapPolygon>
            </wp:wrapTight>
            <wp:docPr id="112" name="Image4 Copy 1" descr="Reed mat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4 Copy 1" descr="Reed mats-1"/>
                    <pic:cNvPicPr>
                      <a:picLocks noChangeAspect="1" noChangeArrowheads="1"/>
                    </pic:cNvPicPr>
                  </pic:nvPicPr>
                  <pic:blipFill>
                    <a:blip r:embed="rId107"/>
                    <a:stretch>
                      <a:fillRect/>
                    </a:stretch>
                  </pic:blipFill>
                  <pic:spPr bwMode="auto">
                    <a:xfrm>
                      <a:off x="0" y="0"/>
                      <a:ext cx="2695575" cy="1410970"/>
                    </a:xfrm>
                    <a:prstGeom prst="rect">
                      <a:avLst/>
                    </a:prstGeom>
                    <a:noFill/>
                  </pic:spPr>
                </pic:pic>
              </a:graphicData>
            </a:graphic>
          </wp:anchor>
        </w:drawing>
      </w:r>
      <w:r>
        <w:rPr>
          <w:rFonts w:eastAsia="Times New Roman" w:cs="Times New Roman"/>
          <w:color w:val="auto"/>
          <w:kern w:val="0"/>
          <w:szCs w:val="24"/>
          <w:lang w:val="lt-LT" w:eastAsia="en-US" w:bidi="ar-SA"/>
        </w:rPr>
        <w:t>as iš karto, būtina imtis prevencinių priemonių, ypač naujai sodinant medžius. Bambukinė kamieno apsauga ne tik sukuria reikiamą šešėlį, sumažindama žievės perkaitimo riziką, bet ir užtikrina natūralią oro cirkuliaciją aplink kamieną. Tai leidžia efektyviai išsklaidyti šilumos perteklių ir išlaikyti optimalų mikroklimatą aplink augalą.</w:t>
      </w:r>
    </w:p>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t>Tinkamai parinkta ir įrengta apsauga padeda išvengti žievės įtrūkimų, fiziologinio streso bei antrinių patogeninių pažeidimų, ilgainiui užtikrindama sveiką medžių augimą urbanistinėse ir natūraliose ekosistemose.</w:t>
      </w:r>
    </w:p>
    <w:p>
      <w:pPr>
        <w:pStyle w:val="Normal"/>
        <w:widowControl/>
        <w:spacing w:before="0" w:after="0"/>
        <w:contextualSpacing/>
        <w:rPr>
          <w:rFonts w:cs="Poppins ExtraLight"/>
        </w:rPr>
      </w:pPr>
      <w:r>
        <w:rPr>
          <w:rFonts w:eastAsia="Times New Roman" w:cs="Times New Roman" w:ascii="Arial" w:hAnsi="Arial"/>
          <w:b/>
          <w:bCs/>
          <w:kern w:val="0"/>
          <w:sz w:val="22"/>
          <w:szCs w:val="22"/>
          <w:lang w:val="lt-LT" w:eastAsia="en-US" w:bidi="ar-SA"/>
        </w:rPr>
        <w:t>5.7. Žolinių augalų sodinimas</w:t>
      </w:r>
    </w:p>
    <w:p>
      <w:pPr>
        <w:pStyle w:val="Normal"/>
        <w:widowControl/>
        <w:spacing w:before="0" w:after="0"/>
        <w:contextualSpacing/>
        <w:rPr>
          <w:rFonts w:cs="Poppins ExtraLight"/>
        </w:rPr>
      </w:pPr>
      <w:r>
        <w:rPr>
          <w:rFonts w:cs="Poppins ExtraLight"/>
        </w:rPr>
      </w:r>
    </w:p>
    <w:p>
      <w:pPr>
        <w:pStyle w:val="Normal"/>
        <w:widowControl/>
        <w:spacing w:before="0" w:after="0"/>
        <w:contextualSpacing/>
        <w:rPr>
          <w:rFonts w:cs="Poppins ExtraLight"/>
        </w:rPr>
      </w:pPr>
      <w:r>
        <w:rPr>
          <w:rFonts w:eastAsia="Times New Roman" w:cs="Poppins ExtraLight" w:ascii="Arial" w:hAnsi="Arial"/>
          <w:color w:val="auto"/>
          <w:kern w:val="0"/>
          <w:sz w:val="20"/>
          <w:szCs w:val="24"/>
          <w:lang w:val="lt-LT" w:eastAsia="en-US" w:bidi="ar-SA"/>
        </w:rPr>
        <w:tab/>
      </w:r>
      <w:r>
        <w:rPr>
          <w:rFonts w:eastAsia="Times New Roman" w:cs="Times New Roman" w:ascii="Arial" w:hAnsi="Arial"/>
          <w:color w:val="auto"/>
          <w:kern w:val="0"/>
          <w:sz w:val="20"/>
          <w:szCs w:val="24"/>
          <w:lang w:val="lt-LT" w:eastAsia="en-US" w:bidi="ar-SA"/>
        </w:rPr>
        <w:t xml:space="preserve">Vietas, kuriose numatyta sodinti augalus būtina papildyti nauju gruntu. </w:t>
      </w:r>
    </w:p>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t xml:space="preserve">Žoliniams augalams ruošiamas grunto mišinys: 70% augalinio grunto, 30% smėlio. Sodinimui duobės dugne beriamas 20 cm storio substrato sluoksnis, kuris perkasamas ir sumaišomas su dugno dirvožemiu, siekiant gauti tarpinį sluoksnį Prieš sodinimą augalai vazonuose labai gausiai palaistomi. Jei šaknys vazone stipriai susipynusios – šaknys išskaidomos.. Jei sodinamas augalas ilgomis šaknimis, šaknys patrumpinamos kad duobėje nebūtų užsilenkusių šaknų. Augalas sodinamas tame pačiame gylyje, kokiame jis buvo vazonėlyje. Jei vazone augęs augalas sodinamas neišardžius šaknų gumulo, jis sodinamas truputį giliau, nes naujai išpurenta gėlyno žemė su laiku susislėgs, o vazone žemė jau yra susislėgusi. Žemė apie naujai pasodintą augalą gerai suspaudžiama, augalas gausiai palaistomas, ir mulčiuojama medžio žievės mulčiumi. </w:t>
      </w:r>
    </w:p>
    <w:p>
      <w:pPr>
        <w:pStyle w:val="Paprtekstas"/>
        <w:widowControl/>
        <w:suppressAutoHyphens w:val="true"/>
        <w:bidi w:val="0"/>
        <w:spacing w:lineRule="auto" w:line="276"/>
        <w:rPr>
          <w:rFonts w:eastAsia="Times New Roman" w:cs="Times New Roman"/>
          <w:color w:val="auto"/>
          <w:kern w:val="0"/>
          <w:szCs w:val="24"/>
          <w:lang w:val="lt-LT" w:eastAsia="en-US" w:bidi="ar-SA"/>
        </w:rPr>
      </w:pPr>
      <w:r>
        <w:rPr/>
        <mc:AlternateContent>
          <mc:Choice Requires="wps">
            <w:drawing>
              <wp:inline distT="0" distB="0" distL="0" distR="0">
                <wp:extent cx="4714875" cy="2897505"/>
                <wp:effectExtent l="0" t="0" r="0" b="0"/>
                <wp:docPr id="113" name="Frame9"/>
                <a:graphic xmlns:a="http://schemas.openxmlformats.org/drawingml/2006/main">
                  <a:graphicData uri="http://schemas.microsoft.com/office/word/2010/wordprocessingShape">
                    <wps:wsp>
                      <wps:cNvSpPr/>
                      <wps:spPr>
                        <a:xfrm>
                          <a:off x="0" y="0"/>
                          <a:ext cx="4714920" cy="2897640"/>
                        </a:xfrm>
                        <a:prstGeom prst="rect">
                          <a:avLst/>
                        </a:prstGeom>
                        <a:solidFill>
                          <a:srgbClr val="ffffff"/>
                        </a:solidFill>
                        <a:ln w="0">
                          <a:noFill/>
                        </a:ln>
                      </wps:spPr>
                      <wps:style>
                        <a:lnRef idx="0"/>
                        <a:fillRef idx="0"/>
                        <a:effectRef idx="0"/>
                        <a:fontRef idx="minor"/>
                      </wps:style>
                      <wps:txbx>
                        <w:txbxContent>
                          <w:p>
                            <w:pPr>
                              <w:pStyle w:val="Caption"/>
                              <w:spacing w:lineRule="auto" w:line="240" w:before="0" w:after="120"/>
                              <w:ind w:hanging="0"/>
                              <w:rPr/>
                            </w:pPr>
                            <w:r>
                              <w:rPr>
                                <w:color w:val="000000"/>
                              </w:rPr>
                              <w:drawing>
                                <wp:inline distT="0" distB="0" distL="0" distR="0">
                                  <wp:extent cx="4714875" cy="2751455"/>
                                  <wp:effectExtent l="0" t="0" r="0" b="0"/>
                                  <wp:docPr id="114" name="Image5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5 Copy 1"/>
                                          <pic:cNvPicPr>
                                            <a:picLocks noChangeAspect="1" noChangeArrowheads="1"/>
                                          </pic:cNvPicPr>
                                        </pic:nvPicPr>
                                        <pic:blipFill>
                                          <a:blip r:embed="rId108"/>
                                          <a:stretch>
                                            <a:fillRect/>
                                          </a:stretch>
                                        </pic:blipFill>
                                        <pic:spPr bwMode="auto">
                                          <a:xfrm>
                                            <a:off x="0" y="0"/>
                                            <a:ext cx="4714875" cy="2751455"/>
                                          </a:xfrm>
                                          <a:prstGeom prst="rect">
                                            <a:avLst/>
                                          </a:prstGeom>
                                          <a:noFill/>
                                        </pic:spPr>
                                      </pic:pic>
                                    </a:graphicData>
                                  </a:graphic>
                                </wp:inline>
                              </w:drawing>
                            </w:r>
                            <w:r>
                              <w:rPr>
                                <w:color w:val="000000"/>
                              </w:rPr>
                              <w:t>Žolinių augalų sodinimo schema</w:t>
                            </w:r>
                          </w:p>
                        </w:txbxContent>
                      </wps:txbx>
                      <wps:bodyPr lIns="0" rIns="0" tIns="0" bIns="0" anchor="t">
                        <a:noAutofit/>
                      </wps:bodyPr>
                    </wps:wsp>
                  </a:graphicData>
                </a:graphic>
              </wp:inline>
            </w:drawing>
          </mc:Choice>
          <mc:Fallback>
            <w:pict>
              <v:rect id="shape_0" ID="Frame9" path="m0,0l-2147483645,0l-2147483645,-2147483646l0,-2147483646xe" fillcolor="white" stroked="f" o:allowincell="f" style="position:absolute;margin-left:0pt;margin-top:-228.2pt;width:371.2pt;height:228.1pt;mso-wrap-style:square;v-text-anchor:top;mso-position-vertical:top">
                <v:fill o:detectmouseclick="t" type="solid" color2="black"/>
                <v:stroke color="#3465a4" joinstyle="round" endcap="flat"/>
                <v:textbox>
                  <w:txbxContent>
                    <w:p>
                      <w:pPr>
                        <w:pStyle w:val="Caption"/>
                        <w:spacing w:lineRule="auto" w:line="240" w:before="0" w:after="120"/>
                        <w:ind w:hanging="0"/>
                        <w:rPr/>
                      </w:pPr>
                      <w:r>
                        <w:rPr>
                          <w:color w:val="000000"/>
                        </w:rPr>
                        <w:drawing>
                          <wp:inline distT="0" distB="0" distL="0" distR="0">
                            <wp:extent cx="4714875" cy="2751455"/>
                            <wp:effectExtent l="0" t="0" r="0" b="0"/>
                            <wp:docPr id="115" name="Image5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Image5 Copy 1"/>
                                    <pic:cNvPicPr>
                                      <a:picLocks noChangeAspect="1" noChangeArrowheads="1"/>
                                    </pic:cNvPicPr>
                                  </pic:nvPicPr>
                                  <pic:blipFill>
                                    <a:blip r:embed="rId109"/>
                                    <a:stretch>
                                      <a:fillRect/>
                                    </a:stretch>
                                  </pic:blipFill>
                                  <pic:spPr bwMode="auto">
                                    <a:xfrm>
                                      <a:off x="0" y="0"/>
                                      <a:ext cx="4714875" cy="2751455"/>
                                    </a:xfrm>
                                    <a:prstGeom prst="rect">
                                      <a:avLst/>
                                    </a:prstGeom>
                                    <a:noFill/>
                                  </pic:spPr>
                                </pic:pic>
                              </a:graphicData>
                            </a:graphic>
                          </wp:inline>
                        </w:drawing>
                      </w:r>
                      <w:r>
                        <w:rPr>
                          <w:color w:val="000000"/>
                        </w:rPr>
                        <w:t>Žolinių augalų sodinimo schema</w:t>
                      </w:r>
                    </w:p>
                  </w:txbxContent>
                </v:textbox>
                <w10:wrap type="square"/>
              </v:rect>
            </w:pict>
          </mc:Fallback>
        </mc:AlternateContent>
      </w:r>
    </w:p>
    <w:p>
      <w:pPr>
        <w:pStyle w:val="Normal"/>
        <w:widowControl/>
        <w:spacing w:before="0" w:after="0"/>
        <w:contextualSpacing/>
        <w:rPr>
          <w:rFonts w:cs="Poppins ExtraLight"/>
        </w:rPr>
      </w:pPr>
      <w:r>
        <w:rPr>
          <w:rFonts w:eastAsia="Times New Roman" w:cs="Times New Roman" w:ascii="Arial" w:hAnsi="Arial"/>
          <w:b/>
          <w:bCs/>
          <w:kern w:val="0"/>
          <w:sz w:val="22"/>
          <w:szCs w:val="22"/>
          <w:lang w:val="lt-LT" w:eastAsia="en-US" w:bidi="ar-SA"/>
        </w:rPr>
        <w:t>5.8. Grunto paruošimas vejai</w:t>
      </w:r>
    </w:p>
    <w:p>
      <w:pPr>
        <w:pStyle w:val="Normal"/>
        <w:widowControl/>
        <w:spacing w:before="0" w:after="0"/>
        <w:contextualSpacing/>
        <w:rPr>
          <w:rFonts w:cs="Poppins ExtraLight"/>
        </w:rPr>
      </w:pPr>
      <w:r>
        <w:rPr>
          <w:rFonts w:cs="Poppins ExtraLight"/>
        </w:rPr>
      </w:r>
    </w:p>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t>Vejos įrengimo plotuose gruntas supurenamas iki 20 cm gylio, (Pastaba. Jeigu gruntas buvo stipriai suspaustas statybų metu, būtiną sujudinti 50 cm. gylyje) išlyginamas, iš jo pašalinami akmenys ir grumstai, didesni nei 25 mm</w:t>
      </w:r>
    </w:p>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r>
    </w:p>
    <w:p>
      <w:pPr>
        <w:pStyle w:val="Normal"/>
        <w:widowControl/>
        <w:spacing w:before="0" w:after="0"/>
        <w:contextualSpacing/>
        <w:rPr>
          <w:rFonts w:cs="Poppins ExtraLight"/>
        </w:rPr>
      </w:pPr>
      <w:r>
        <w:rPr>
          <w:rFonts w:eastAsia="Times New Roman" w:cs="Times New Roman" w:ascii="Arial" w:hAnsi="Arial"/>
          <w:b/>
          <w:bCs/>
          <w:kern w:val="0"/>
          <w:sz w:val="22"/>
          <w:szCs w:val="22"/>
          <w:lang w:val="lt-LT" w:eastAsia="en-US" w:bidi="ar-SA"/>
        </w:rPr>
        <w:t>5.9. Ruloninės vejos įrengimas</w:t>
      </w:r>
    </w:p>
    <w:p>
      <w:pPr>
        <w:pStyle w:val="Normal"/>
        <w:widowControl/>
        <w:spacing w:before="0" w:after="0"/>
        <w:contextualSpacing/>
        <w:rPr>
          <w:rFonts w:cs="Poppins ExtraLight"/>
        </w:rPr>
      </w:pPr>
      <w:r>
        <w:rPr>
          <w:rFonts w:cs="Poppins ExtraLight"/>
        </w:rPr>
      </w:r>
    </w:p>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t xml:space="preserve">Prieš įrengiant ruloninę veją </w:t>
      </w:r>
      <w:r>
        <w:rPr>
          <w:rFonts w:eastAsia="Times New Roman" w:cs="Times New Roman"/>
          <w:color w:val="auto"/>
          <w:kern w:val="0"/>
          <w:sz w:val="20"/>
          <w:szCs w:val="24"/>
          <w:lang w:val="lt-LT" w:eastAsia="en-US" w:bidi="ar-SA"/>
        </w:rPr>
        <w:t>turi būti tinkamai suformuoti šlaitai, kuriuos būtina papildyti nauju gruntu bei įrengtas prieš erozinis paklotas (Žr. TS 3.2. punktas).</w:t>
      </w:r>
    </w:p>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t xml:space="preserve">Ruloninė veja turi būti pagaminta iš gerai prižiūrimos ir subrendusi žolės, atsparios įvairioms klimatinėms sąlygoms. Rulonai turi būti transportuojami į objekto vietą laikantis atitinkamų temperatūros ir drėgmės sąlygų. Jie neturi būti paliekami tiesioginiuose saulės spinduliuose ilgą laiką, kad nepatirtų žalos. Vejoje turi būti subalansuota žolių rūšių sudėtis, be piktžolių ir kitų nepageidaujamų augalų. </w:t>
      </w:r>
    </w:p>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t xml:space="preserve">Rulonų kraštai turi gerai susijungti, bet neperšokti vienas ant kito. Tarpai tarp rulonų turi būti kuo mažesni (0,5–1 cm). Tai užtikrins gerą žolės augimą. Kiekvienas rulonas turi būti šiek tiek įtemptas, kad būtų užtikrinta lygi paviršiaus struktūra, tačiau ne per stipriai, kad nesuspausti žemės ir nepažeisti šaknų. jeigu klojimo metu buvo susidariusios įtrūkimų ar pažeidimų, juos reikėtų užtaisyti smėlio arba derlingo dirvožemio mišiniu. </w:t>
      </w:r>
    </w:p>
    <w:p>
      <w:pPr>
        <w:pStyle w:val="Normal"/>
        <w:widowControl/>
        <w:spacing w:before="0" w:after="0"/>
        <w:contextualSpacing/>
        <w:rPr>
          <w:rFonts w:cs="Poppins ExtraLight"/>
        </w:rPr>
      </w:pPr>
      <w:r>
        <w:rPr>
          <w:rFonts w:eastAsia="Times New Roman" w:cs="Times New Roman" w:ascii="Arial" w:hAnsi="Arial"/>
          <w:b/>
          <w:bCs/>
          <w:kern w:val="0"/>
          <w:sz w:val="22"/>
          <w:szCs w:val="22"/>
          <w:lang w:val="lt-LT" w:eastAsia="en-US" w:bidi="ar-SA"/>
        </w:rPr>
        <w:t>5.10. Vejos šlaite įrengimas</w:t>
      </w:r>
    </w:p>
    <w:p>
      <w:pPr>
        <w:pStyle w:val="Normal"/>
        <w:widowControl/>
        <w:spacing w:before="0" w:after="0"/>
        <w:contextualSpacing/>
        <w:rPr>
          <w:rFonts w:cs="Poppins ExtraLight"/>
        </w:rPr>
      </w:pPr>
      <w:r>
        <w:rPr>
          <w:rFonts w:cs="Poppins ExtraLight"/>
        </w:rPr>
      </w:r>
    </w:p>
    <w:p>
      <w:pPr>
        <w:pStyle w:val="Normal"/>
        <w:widowControl/>
        <w:spacing w:before="0" w:after="0"/>
        <w:contextualSpacing/>
        <w:rPr>
          <w:rFonts w:cs="Poppins ExtraLight"/>
        </w:rPr>
      </w:pPr>
      <w:r>
        <w:rPr>
          <w:rFonts w:eastAsia="Times New Roman" w:cs="Times New Roman" w:ascii="Arial" w:hAnsi="Arial"/>
          <w:b/>
          <w:bCs/>
          <w:kern w:val="0"/>
          <w:sz w:val="22"/>
          <w:szCs w:val="22"/>
          <w:lang w:val="lt-LT" w:eastAsia="en-US" w:bidi="ar-SA"/>
        </w:rPr>
        <w:tab/>
      </w:r>
      <w:r>
        <w:rPr>
          <w:rFonts w:eastAsia="Times New Roman" w:cs="Times New Roman" w:ascii="Arial" w:hAnsi="Arial"/>
          <w:color w:val="auto"/>
          <w:kern w:val="0"/>
          <w:sz w:val="20"/>
          <w:szCs w:val="24"/>
          <w:lang w:val="lt-LT" w:eastAsia="en-US" w:bidi="ar-SA"/>
        </w:rPr>
        <w:t xml:space="preserve">Prieš sėjant veją turi būti tinkamai suformuoti šlaitai, kuriuos būtina papildyti nauju gruntu bei įrengtas prieš erozinis paklotas (Žr. TS 3.2. punktas). Veja šlaituose sėjama hidrosėjos būdu. </w:t>
      </w:r>
    </w:p>
    <w:p>
      <w:pPr>
        <w:pStyle w:val="Normal"/>
        <w:widowControl/>
        <w:spacing w:before="0" w:after="0"/>
        <w:contextualSpacing/>
        <w:rPr>
          <w:rFonts w:cs="Poppins ExtraLight"/>
        </w:rPr>
      </w:pPr>
      <w:r>
        <w:rPr>
          <w:rFonts w:cs="Poppins ExtraLight"/>
        </w:rPr>
      </w:r>
    </w:p>
    <w:p>
      <w:pPr>
        <w:pStyle w:val="Normal"/>
        <w:widowControl/>
        <w:spacing w:before="0" w:after="0"/>
        <w:contextualSpacing/>
        <w:rPr>
          <w:rFonts w:cs="Poppins ExtraLight"/>
        </w:rPr>
      </w:pPr>
      <w:r>
        <w:rPr>
          <w:rFonts w:cs="Poppins ExtraLight"/>
        </w:rPr>
      </w:r>
    </w:p>
    <w:p>
      <w:pPr>
        <w:pStyle w:val="Normal"/>
        <w:widowControl/>
        <w:spacing w:before="0" w:after="0"/>
        <w:contextualSpacing/>
        <w:rPr>
          <w:rFonts w:cs="Poppins ExtraLight"/>
        </w:rPr>
      </w:pPr>
      <w:r>
        <w:rPr>
          <w:rFonts w:cs="Poppins ExtraLight"/>
        </w:rPr>
      </w:r>
    </w:p>
    <w:p>
      <w:pPr>
        <w:pStyle w:val="Normal"/>
        <w:widowControl/>
        <w:spacing w:before="0" w:after="0"/>
        <w:contextualSpacing/>
        <w:rPr>
          <w:rFonts w:cs="Poppins ExtraLight"/>
        </w:rPr>
      </w:pPr>
      <w:r>
        <w:rPr>
          <w:rFonts w:cs="Poppins ExtraLight"/>
        </w:rPr>
      </w:r>
    </w:p>
    <w:p>
      <w:pPr>
        <w:pStyle w:val="Normal"/>
        <w:widowControl/>
        <w:spacing w:before="0" w:after="0"/>
        <w:contextualSpacing/>
        <w:rPr>
          <w:rFonts w:cs="Poppins ExtraLight"/>
        </w:rPr>
      </w:pPr>
      <w:r>
        <w:rPr>
          <w:rFonts w:eastAsia="Times New Roman" w:cs="Times New Roman" w:ascii="Arial" w:hAnsi="Arial"/>
          <w:b/>
          <w:bCs/>
          <w:kern w:val="0"/>
          <w:sz w:val="22"/>
          <w:szCs w:val="22"/>
          <w:lang w:val="lt-LT" w:eastAsia="en-US" w:bidi="ar-SA"/>
        </w:rPr>
        <w:t>5.11.  Hidrosėjos technologija</w:t>
      </w:r>
    </w:p>
    <w:p>
      <w:pPr>
        <w:pStyle w:val="Normal"/>
        <w:widowControl/>
        <w:spacing w:before="0" w:after="0"/>
        <w:contextualSpacing/>
        <w:rPr>
          <w:rFonts w:cs="Poppins ExtraLight"/>
        </w:rPr>
      </w:pPr>
      <w:r>
        <w:rPr>
          <w:rFonts w:cs="Poppins ExtraLight"/>
        </w:rPr>
      </w:r>
    </w:p>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t>Hidrosėjos mišiniui naudojame vandenį ir dar papildomai hidro gelį, kuris turi savybę savyje sukaupti iki 400 kartų daugiau vandens, kurį vėliau iš lėto atiduoda sėklų daigams. Tačiau esant labai sausam orui būtina laistyti.</w:t>
      </w:r>
    </w:p>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t>Dėl mišinyje naudojamų specialių aplinkai nekenksmingų klijų, mulčias ir sėklos idealiai prilimpa prie dirvos paviršiaus. Net esant stipriam lietui ar vėjui, vejos sėklos nėra išplaunamos, išpučiamos ir pasilieka savo vietoje. Išpurkštos vejos sėklos yra susimaišiusios su mulčiu, tad išnyksta tikimybė, kad sėklos bus išlestos paukščių.</w:t>
      </w:r>
    </w:p>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t>Specialios mašinos talpoje vejos sėklos tolygiai sumaišomos su mulčio mase, todėl purškiant sėklos 100% tolygiai paskleidžiamos dirvos paviršiuje.</w:t>
      </w:r>
    </w:p>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t>Specialaus sukurto hidrosėjos mišinio ir ištobulintos technologijos dėka yra nereikalingas vejos atsėjimas. Kadangi nereikia sugrįžti ir suteikti papildomų paslaugų, tokiu atveju yra sumažinamas kiekis išmetamųjų technikos dujų.</w:t>
      </w:r>
    </w:p>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t>Specialūs savaime suįrantys hidrosėjos mišinyje esantys klijai ne tik idealiai priklijuoja sėklas prie dirvos paviršiaus, bet ir sutvirtina patį šlaitą. Todėl erozijos tikimybė yra minimali net ir esant stipriam lietui.</w:t>
      </w:r>
    </w:p>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t>Kartu su sėklomis yra išpurškiamos skystos organinės trąšos, kurios net ir esant stipriam lietui nėra išplaunamos. Mišinyje esančios trąšos sumažina vejos tręšimo poreikį 3 mėnesiems.</w:t>
      </w:r>
    </w:p>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t>Atlikus įprastą vejos sėjimą dažnai reikia papildomai naudoti agro plėvelę, kad apsisaugoti nuo nepalankių oro sąlygų ir sukurti šiltesnę terpę vejos sėklų dygimui. Po atliktos hidrosėjos nereikia naudoti agro plėvelės ar baimintis nepalankių oro sąlygų. Specialus hidrosėjos mišinys užtikrina kokybišką sėklų sudygimą ir įsišaknijimą.</w:t>
      </w:r>
    </w:p>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r>
    </w:p>
    <w:p>
      <w:pPr>
        <w:pStyle w:val="Normal"/>
        <w:widowControl/>
        <w:spacing w:before="0" w:after="0"/>
        <w:contextualSpacing/>
        <w:rPr>
          <w:rFonts w:cs="Poppins ExtraLight"/>
        </w:rPr>
      </w:pPr>
      <w:r>
        <w:rPr>
          <w:rFonts w:eastAsia="Times New Roman" w:cs="Times New Roman" w:ascii="Arial" w:hAnsi="Arial"/>
          <w:b/>
          <w:bCs/>
          <w:kern w:val="0"/>
          <w:sz w:val="22"/>
          <w:szCs w:val="22"/>
          <w:lang w:val="lt-LT" w:eastAsia="en-US" w:bidi="ar-SA"/>
        </w:rPr>
        <w:t>5.12.  Mulčiavimas</w:t>
      </w:r>
    </w:p>
    <w:p>
      <w:pPr>
        <w:pStyle w:val="Paprtekstas"/>
        <w:widowControl/>
        <w:suppressAutoHyphens w:val="true"/>
        <w:bidi w:val="0"/>
        <w:spacing w:lineRule="auto" w:line="276"/>
        <w:rPr>
          <w:rFonts w:ascii="Arial" w:hAnsi="Arial"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t xml:space="preserve">Plotas po krūmais turi būti padengtas 5 cm storio smulkintos medžio žievės mulčium, kuris sulaiko drėgmę, slopina piktžolių augimą ir padeda įsitvirtinti pasodintiems želdiniams.  </w:t>
      </w:r>
    </w:p>
    <w:p>
      <w:pPr>
        <w:pStyle w:val="Paprtekstas"/>
        <w:widowControl/>
        <w:suppressAutoHyphens w:val="true"/>
        <w:bidi w:val="0"/>
        <w:spacing w:lineRule="auto" w:line="276"/>
        <w:rPr/>
      </w:pPr>
      <w:r>
        <w:rPr>
          <w:rFonts w:eastAsia="Times New Roman" w:cs="Times New Roman"/>
          <w:color w:val="auto"/>
          <w:kern w:val="0"/>
          <w:szCs w:val="24"/>
          <w:lang w:val="lt-LT" w:eastAsia="en-US" w:bidi="ar-SA"/>
        </w:rPr>
        <w:t xml:space="preserve">Rekomenduojama </w:t>
      </w:r>
      <w:r>
        <w:rPr>
          <w:rStyle w:val="BodyTextChar"/>
          <w:rFonts w:eastAsia="Times New Roman" w:cs="Times New Roman"/>
          <w:color w:val="auto"/>
          <w:kern w:val="0"/>
          <w:szCs w:val="24"/>
          <w:lang w:val="lt-LT" w:eastAsia="en-US" w:bidi="ar-SA"/>
        </w:rPr>
        <w:t>užpilti 5 cm</w:t>
      </w:r>
      <w:r>
        <w:rPr>
          <w:rFonts w:eastAsia="Times New Roman" w:cs="Times New Roman"/>
          <w:color w:val="auto"/>
          <w:kern w:val="0"/>
          <w:szCs w:val="24"/>
          <w:lang w:val="lt-LT" w:eastAsia="en-US" w:bidi="ar-SA"/>
        </w:rPr>
        <w:t xml:space="preserve"> sluoksniu aplink augalus. Mulčiuojant medžius mulčiuojama </w:t>
      </w:r>
      <w:r>
        <w:rPr>
          <w:rStyle w:val="BodyTextChar"/>
          <w:rFonts w:eastAsia="Times New Roman" w:cs="Times New Roman"/>
          <w:color w:val="auto"/>
          <w:kern w:val="0"/>
          <w:szCs w:val="24"/>
          <w:lang w:val="lt-LT" w:eastAsia="en-US" w:bidi="ar-SA"/>
        </w:rPr>
        <w:t>ne arčiau 10 cm nuo medžio kamieno</w:t>
      </w:r>
      <w:r>
        <w:drawing>
          <wp:anchor behindDoc="0" distT="0" distB="0" distL="114300" distR="114300" simplePos="0" locked="0" layoutInCell="0" allowOverlap="1" relativeHeight="187">
            <wp:simplePos x="0" y="0"/>
            <wp:positionH relativeFrom="column">
              <wp:posOffset>4358640</wp:posOffset>
            </wp:positionH>
            <wp:positionV relativeFrom="paragraph">
              <wp:posOffset>227330</wp:posOffset>
            </wp:positionV>
            <wp:extent cx="2134235" cy="1064260"/>
            <wp:effectExtent l="0" t="0" r="0" b="0"/>
            <wp:wrapSquare wrapText="bothSides"/>
            <wp:docPr id="116" name="Picture 8">
              <a:hlinkClick xmlns:a="http://schemas.openxmlformats.org/drawingml/2006/main" r:id="rId1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8">
                      <a:hlinkClick r:id="rId111"/>
                    </pic:cNvPr>
                    <pic:cNvPicPr>
                      <a:picLocks noChangeAspect="1" noChangeArrowheads="1"/>
                    </pic:cNvPicPr>
                  </pic:nvPicPr>
                  <pic:blipFill>
                    <a:blip r:embed="rId110"/>
                    <a:srcRect l="0" t="20583" r="0" b="29496"/>
                    <a:stretch>
                      <a:fillRect/>
                    </a:stretch>
                  </pic:blipFill>
                  <pic:spPr bwMode="auto">
                    <a:xfrm>
                      <a:off x="0" y="0"/>
                      <a:ext cx="2134235" cy="1064260"/>
                    </a:xfrm>
                    <a:prstGeom prst="rect">
                      <a:avLst/>
                    </a:prstGeom>
                    <a:noFill/>
                  </pic:spPr>
                </pic:pic>
              </a:graphicData>
            </a:graphic>
          </wp:anchor>
        </w:drawing>
      </w:r>
      <w:r>
        <w:rPr>
          <w:rFonts w:eastAsia="Times New Roman" w:cs="Times New Roman"/>
          <w:color w:val="auto"/>
          <w:kern w:val="0"/>
          <w:szCs w:val="24"/>
          <w:lang w:val="lt-LT" w:eastAsia="en-US" w:bidi="ar-SA"/>
        </w:rPr>
        <w:t xml:space="preserve">. </w:t>
      </w:r>
    </w:p>
    <w:p>
      <w:pPr>
        <w:pStyle w:val="Normal"/>
        <w:widowControl/>
        <w:spacing w:before="0" w:after="0"/>
        <w:contextualSpacing/>
        <w:rPr>
          <w:rFonts w:cs="Poppins ExtraLight"/>
        </w:rPr>
      </w:pPr>
      <w:r>
        <w:rPr>
          <w:rFonts w:eastAsia="Times New Roman" w:cs="Times New Roman" w:ascii="Arial" w:hAnsi="Arial"/>
          <w:b/>
          <w:bCs/>
          <w:color w:val="auto"/>
          <w:kern w:val="0"/>
          <w:sz w:val="22"/>
          <w:szCs w:val="24"/>
          <w:lang w:val="lt-LT" w:eastAsia="en-US" w:bidi="ar-SA"/>
        </w:rPr>
        <w:t>5.13.  Akvatakas</w:t>
      </w:r>
    </w:p>
    <w:p>
      <w:pPr>
        <w:pStyle w:val="Paprtekstas"/>
        <w:widowControl/>
        <w:suppressAutoHyphens w:val="true"/>
        <w:bidi w:val="0"/>
        <w:spacing w:lineRule="auto" w:line="276"/>
        <w:rPr>
          <w:rFonts w:ascii="Arial" w:hAnsi="Arial"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t>Aplink medžių gumulus įrengiama perforuota laistymo žarna su dangteliu. Medžiui naudojama 2,5 m ilgio žarna. Gaminio pavyzdį Rangovas derina su projektuotoju.</w:t>
      </w:r>
    </w:p>
    <w:p>
      <w:pPr>
        <w:pStyle w:val="Normal"/>
        <w:widowControl/>
        <w:spacing w:before="0" w:after="0"/>
        <w:ind w:firstLine="415"/>
        <w:contextualSpacing/>
        <w:rPr>
          <w:rFonts w:cs="Poppins ExtraLight"/>
        </w:rPr>
      </w:pPr>
      <w:r>
        <w:rPr>
          <w:rFonts w:eastAsia="Calibri" w:cs="Poppins ExtraLight"/>
          <w:kern w:val="2"/>
          <w:szCs w:val="22"/>
          <w:lang w:val="lt-LT" w:eastAsia="en-US" w:bidi="ar-SA"/>
        </w:rPr>
        <w:t xml:space="preserve">  </w:t>
      </w:r>
    </w:p>
    <w:p>
      <w:pPr>
        <w:pStyle w:val="Caption"/>
        <w:keepNext w:val="true"/>
        <w:rPr/>
      </w:pPr>
      <w:r>
        <w:rPr/>
        <w:t>Sodinamų augalų aprašas</w:t>
      </w:r>
    </w:p>
    <w:tbl>
      <w:tblPr>
        <w:tblW w:w="5000" w:type="pct"/>
        <w:jc w:val="left"/>
        <w:tblInd w:w="55" w:type="dxa"/>
        <w:tblLayout w:type="fixed"/>
        <w:tblCellMar>
          <w:top w:w="55" w:type="dxa"/>
          <w:left w:w="55" w:type="dxa"/>
          <w:bottom w:w="55" w:type="dxa"/>
          <w:right w:w="55" w:type="dxa"/>
        </w:tblCellMar>
      </w:tblPr>
      <w:tblGrid>
        <w:gridCol w:w="2258"/>
        <w:gridCol w:w="4545"/>
        <w:gridCol w:w="3402"/>
      </w:tblGrid>
      <w:tr>
        <w:trPr/>
        <w:tc>
          <w:tcPr>
            <w:tcW w:w="2258" w:type="dxa"/>
            <w:tcBorders>
              <w:top w:val="single" w:sz="4" w:space="0" w:color="000000"/>
              <w:left w:val="single" w:sz="4" w:space="0" w:color="000000"/>
              <w:bottom w:val="single" w:sz="4" w:space="0" w:color="000000"/>
            </w:tcBorders>
          </w:tcPr>
          <w:p>
            <w:pPr>
              <w:pStyle w:val="Lentelsturinys"/>
              <w:spacing w:before="0" w:after="200"/>
              <w:rPr>
                <w:rFonts w:ascii="Arial" w:hAnsi="Arial"/>
                <w:b/>
                <w:bCs/>
                <w:sz w:val="20"/>
                <w:szCs w:val="20"/>
              </w:rPr>
            </w:pPr>
            <w:r>
              <w:rPr>
                <w:rFonts w:ascii="Arial" w:hAnsi="Arial"/>
                <w:b/>
                <w:bCs/>
                <w:sz w:val="20"/>
                <w:szCs w:val="20"/>
              </w:rPr>
              <w:t>Pavadinimas</w:t>
            </w:r>
          </w:p>
        </w:tc>
        <w:tc>
          <w:tcPr>
            <w:tcW w:w="4545" w:type="dxa"/>
            <w:tcBorders>
              <w:top w:val="single" w:sz="4" w:space="0" w:color="000000"/>
              <w:left w:val="single" w:sz="4" w:space="0" w:color="000000"/>
              <w:bottom w:val="single" w:sz="4" w:space="0" w:color="000000"/>
            </w:tcBorders>
          </w:tcPr>
          <w:p>
            <w:pPr>
              <w:pStyle w:val="Lentelsturinys"/>
              <w:spacing w:before="0" w:after="200"/>
              <w:rPr>
                <w:rFonts w:ascii="Arial" w:hAnsi="Arial"/>
                <w:b/>
                <w:bCs/>
                <w:sz w:val="20"/>
                <w:szCs w:val="20"/>
              </w:rPr>
            </w:pPr>
            <w:r>
              <w:rPr>
                <w:rFonts w:ascii="Arial" w:hAnsi="Arial"/>
                <w:b/>
                <w:bCs/>
                <w:sz w:val="20"/>
                <w:szCs w:val="20"/>
              </w:rPr>
              <w:t>Aprašas</w:t>
            </w:r>
          </w:p>
        </w:tc>
        <w:tc>
          <w:tcPr>
            <w:tcW w:w="3402" w:type="dxa"/>
            <w:tcBorders>
              <w:top w:val="single" w:sz="4" w:space="0" w:color="000000"/>
              <w:left w:val="single" w:sz="4" w:space="0" w:color="000000"/>
              <w:bottom w:val="single" w:sz="4" w:space="0" w:color="000000"/>
              <w:right w:val="single" w:sz="4" w:space="0" w:color="000000"/>
            </w:tcBorders>
          </w:tcPr>
          <w:p>
            <w:pPr>
              <w:pStyle w:val="Lentelsturinys"/>
              <w:spacing w:before="0" w:after="200"/>
              <w:rPr>
                <w:rFonts w:ascii="Arial" w:hAnsi="Arial"/>
                <w:b/>
                <w:bCs/>
                <w:sz w:val="20"/>
                <w:szCs w:val="20"/>
              </w:rPr>
            </w:pPr>
            <w:r>
              <w:rPr>
                <w:rFonts w:ascii="Arial" w:hAnsi="Arial"/>
                <w:b/>
                <w:bCs/>
                <w:sz w:val="20"/>
                <w:szCs w:val="20"/>
              </w:rPr>
              <w:t>Nuotrauka</w:t>
            </w:r>
          </w:p>
        </w:tc>
      </w:tr>
      <w:tr>
        <w:trPr/>
        <w:tc>
          <w:tcPr>
            <w:tcW w:w="2258" w:type="dxa"/>
            <w:tcBorders>
              <w:left w:val="single" w:sz="4" w:space="0" w:color="000000"/>
              <w:bottom w:val="single" w:sz="4" w:space="0" w:color="000000"/>
            </w:tcBorders>
          </w:tcPr>
          <w:p>
            <w:pPr>
              <w:pStyle w:val="Lentelsturinys"/>
              <w:spacing w:before="0" w:after="200"/>
              <w:rPr>
                <w:rFonts w:ascii="Arial" w:hAnsi="Arial"/>
                <w:sz w:val="20"/>
                <w:szCs w:val="20"/>
              </w:rPr>
            </w:pPr>
            <w:r>
              <w:rPr>
                <w:rFonts w:ascii="Arial" w:hAnsi="Arial"/>
                <w:sz w:val="20"/>
                <w:szCs w:val="20"/>
              </w:rPr>
              <w:t>Pušis Paprastoji</w:t>
            </w:r>
          </w:p>
        </w:tc>
        <w:tc>
          <w:tcPr>
            <w:tcW w:w="4545" w:type="dxa"/>
            <w:tcBorders>
              <w:left w:val="single" w:sz="4" w:space="0" w:color="000000"/>
              <w:bottom w:val="single" w:sz="4" w:space="0" w:color="000000"/>
            </w:tcBorders>
          </w:tcPr>
          <w:p>
            <w:pPr>
              <w:pStyle w:val="Normal"/>
              <w:widowControl/>
              <w:spacing w:before="0" w:after="0"/>
              <w:ind w:hanging="0"/>
              <w:contextualSpacing/>
              <w:jc w:val="both"/>
              <w:rPr>
                <w:rFonts w:ascii="Arial" w:hAnsi="Arial" w:eastAsia="Calibri" w:cs=""/>
                <w:kern w:val="2"/>
                <w:sz w:val="20"/>
                <w:szCs w:val="20"/>
                <w:lang w:val="lt-LT" w:eastAsia="en-US" w:bidi="ar-SA"/>
              </w:rPr>
            </w:pPr>
            <w:r>
              <w:rPr>
                <w:rFonts w:eastAsia="Calibri" w:cs="" w:ascii="Arial" w:hAnsi="Arial"/>
                <w:kern w:val="2"/>
                <w:sz w:val="20"/>
                <w:szCs w:val="20"/>
                <w:lang w:val="lt-LT" w:eastAsia="en-US" w:bidi="ar-SA"/>
              </w:rPr>
              <w:t>Labiausiai paplitusi ir Lietuvoje natūraliai auganti pušų rūšis. Lietuvoje pušynai sudaro apie trečdalį visų miškų. Auga pakankamai greitai, tačiau lėčiau nei juodoji pušis. Per 10 metų užauga apie 4,0 m aukščio ir 2,0 m pločio. Medžio siluetas dažniausiai būna netaisyklingas, šakos netaisyklingai pasiskirsčiusios palei kamieną ir vainike.</w:t>
            </w:r>
          </w:p>
        </w:tc>
        <w:tc>
          <w:tcPr>
            <w:tcW w:w="3402" w:type="dxa"/>
            <w:tcBorders>
              <w:left w:val="single" w:sz="4" w:space="0" w:color="000000"/>
              <w:bottom w:val="single" w:sz="4" w:space="0" w:color="000000"/>
              <w:right w:val="single" w:sz="4" w:space="0" w:color="000000"/>
            </w:tcBorders>
          </w:tcPr>
          <w:p>
            <w:pPr>
              <w:pStyle w:val="Lentelsturinys"/>
              <w:spacing w:before="0" w:after="200"/>
              <w:rPr>
                <w:rFonts w:ascii="Arial" w:hAnsi="Arial"/>
                <w:sz w:val="20"/>
                <w:szCs w:val="20"/>
              </w:rPr>
            </w:pPr>
            <w:r>
              <w:rPr/>
              <w:drawing>
                <wp:inline distT="0" distB="0" distL="0" distR="0">
                  <wp:extent cx="1173480" cy="1586865"/>
                  <wp:effectExtent l="0" t="0" r="0" b="0"/>
                  <wp:docPr id="11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5"/>
                          <pic:cNvPicPr>
                            <a:picLocks noChangeAspect="1" noChangeArrowheads="1"/>
                          </pic:cNvPicPr>
                        </pic:nvPicPr>
                        <pic:blipFill>
                          <a:blip r:embed="rId112"/>
                          <a:stretch>
                            <a:fillRect/>
                          </a:stretch>
                        </pic:blipFill>
                        <pic:spPr bwMode="auto">
                          <a:xfrm>
                            <a:off x="0" y="0"/>
                            <a:ext cx="1173480" cy="1586865"/>
                          </a:xfrm>
                          <a:prstGeom prst="rect">
                            <a:avLst/>
                          </a:prstGeom>
                          <a:noFill/>
                        </pic:spPr>
                      </pic:pic>
                    </a:graphicData>
                  </a:graphic>
                </wp:inline>
              </w:drawing>
            </w:r>
          </w:p>
        </w:tc>
      </w:tr>
      <w:tr>
        <w:trPr/>
        <w:tc>
          <w:tcPr>
            <w:tcW w:w="2258" w:type="dxa"/>
            <w:tcBorders>
              <w:left w:val="single" w:sz="4" w:space="0" w:color="000000"/>
              <w:bottom w:val="single" w:sz="4" w:space="0" w:color="000000"/>
            </w:tcBorders>
          </w:tcPr>
          <w:p>
            <w:pPr>
              <w:pStyle w:val="Lentelsturinys"/>
              <w:suppressAutoHyphens w:val="true"/>
              <w:bidi w:val="0"/>
              <w:spacing w:lineRule="auto" w:line="276" w:before="0" w:after="200"/>
              <w:jc w:val="left"/>
              <w:rPr>
                <w:rFonts w:ascii="Arial" w:hAnsi="Arial" w:eastAsia="Times New Roman" w:cs="Times New Roman"/>
                <w:color w:val="auto"/>
                <w:kern w:val="0"/>
                <w:sz w:val="20"/>
                <w:szCs w:val="20"/>
                <w:lang w:val="lt-LT" w:eastAsia="en-US" w:bidi="ar-SA"/>
              </w:rPr>
            </w:pPr>
            <w:r>
              <w:rPr>
                <w:rFonts w:eastAsia="Times New Roman" w:cs="Times New Roman" w:ascii="Arial" w:hAnsi="Arial"/>
                <w:color w:val="auto"/>
                <w:kern w:val="0"/>
                <w:sz w:val="20"/>
                <w:szCs w:val="20"/>
                <w:lang w:val="lt-LT" w:eastAsia="en-US" w:bidi="ar-SA"/>
              </w:rPr>
              <w:t>Juodalksnis 'Laciniata'</w:t>
            </w:r>
          </w:p>
        </w:tc>
        <w:tc>
          <w:tcPr>
            <w:tcW w:w="4545" w:type="dxa"/>
            <w:tcBorders>
              <w:left w:val="single" w:sz="4" w:space="0" w:color="000000"/>
              <w:bottom w:val="single" w:sz="4" w:space="0" w:color="000000"/>
            </w:tcBorders>
          </w:tcPr>
          <w:p>
            <w:pPr>
              <w:pStyle w:val="Normal"/>
              <w:spacing w:before="0" w:after="0"/>
              <w:ind w:hanging="0"/>
              <w:contextualSpacing/>
              <w:jc w:val="both"/>
              <w:rPr>
                <w:rFonts w:ascii="Arial" w:hAnsi="Arial" w:eastAsia="Calibri" w:cs=""/>
                <w:kern w:val="2"/>
                <w:sz w:val="20"/>
                <w:szCs w:val="20"/>
              </w:rPr>
            </w:pPr>
            <w:r>
              <w:rPr>
                <w:rFonts w:eastAsia="Calibri" w:cs="" w:ascii="Arial" w:hAnsi="Arial"/>
                <w:kern w:val="2"/>
                <w:sz w:val="20"/>
                <w:szCs w:val="20"/>
              </w:rPr>
              <w:t>Kompaktiškas medis, kurio laja gali siekti iki 6 – 8 m aukštį ir panašų plotį. Gegužės mėnesį pasirodo žalsvai geltoni žiedai. Dideli sudėtiniai lapai siekia iki 28 cm skersmenį. Rudenį šis augalas nusispalvina ugniniais – oranžiniais ir raudonais - atspalviais. Blizgantys rudi kaštonai, iki 3 cm dydžio, apsupti netaisyklingos formos rausvai pilka spygliuota kapsule. Tinka saulėta ar dalinai pavėsinga vieta. Neišrankus dirvai.</w:t>
            </w:r>
          </w:p>
        </w:tc>
        <w:tc>
          <w:tcPr>
            <w:tcW w:w="3402" w:type="dxa"/>
            <w:tcBorders>
              <w:left w:val="single" w:sz="4" w:space="0" w:color="000000"/>
              <w:bottom w:val="single" w:sz="4" w:space="0" w:color="000000"/>
              <w:right w:val="single" w:sz="4" w:space="0" w:color="000000"/>
            </w:tcBorders>
          </w:tcPr>
          <w:p>
            <w:pPr>
              <w:pStyle w:val="Lentelsturinys"/>
              <w:spacing w:before="0" w:after="200"/>
              <w:rPr>
                <w:rFonts w:ascii="Arial" w:hAnsi="Arial"/>
                <w:sz w:val="20"/>
                <w:szCs w:val="20"/>
              </w:rPr>
            </w:pPr>
            <w:r>
              <w:rPr/>
              <w:drawing>
                <wp:inline distT="0" distB="0" distL="0" distR="0">
                  <wp:extent cx="1075055" cy="1619885"/>
                  <wp:effectExtent l="0" t="0" r="0" b="0"/>
                  <wp:docPr id="118" name="Image10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10 Copy 1"/>
                          <pic:cNvPicPr>
                            <a:picLocks noChangeAspect="1" noChangeArrowheads="1"/>
                          </pic:cNvPicPr>
                        </pic:nvPicPr>
                        <pic:blipFill>
                          <a:blip r:embed="rId113"/>
                          <a:stretch>
                            <a:fillRect/>
                          </a:stretch>
                        </pic:blipFill>
                        <pic:spPr bwMode="auto">
                          <a:xfrm>
                            <a:off x="0" y="0"/>
                            <a:ext cx="1075055" cy="1619885"/>
                          </a:xfrm>
                          <a:prstGeom prst="rect">
                            <a:avLst/>
                          </a:prstGeom>
                          <a:noFill/>
                        </pic:spPr>
                      </pic:pic>
                    </a:graphicData>
                  </a:graphic>
                </wp:inline>
              </w:drawing>
            </w:r>
          </w:p>
        </w:tc>
      </w:tr>
      <w:tr>
        <w:trPr/>
        <w:tc>
          <w:tcPr>
            <w:tcW w:w="2258" w:type="dxa"/>
            <w:tcBorders>
              <w:left w:val="single" w:sz="4" w:space="0" w:color="000000"/>
              <w:bottom w:val="single" w:sz="4" w:space="0" w:color="000000"/>
            </w:tcBorders>
          </w:tcPr>
          <w:p>
            <w:pPr>
              <w:pStyle w:val="Normal"/>
              <w:widowControl/>
              <w:spacing w:before="0" w:after="0"/>
              <w:ind w:hanging="0"/>
              <w:contextualSpacing/>
              <w:rPr>
                <w:rFonts w:ascii="Poppins Medium" w:hAnsi="Poppins Medium" w:cs="Poppins Medium"/>
              </w:rPr>
            </w:pPr>
            <w:r>
              <w:rPr>
                <w:rFonts w:eastAsia="Times New Roman" w:cs="Times New Roman" w:ascii="Arial" w:hAnsi="Arial"/>
                <w:color w:val="auto"/>
                <w:kern w:val="0"/>
                <w:sz w:val="20"/>
                <w:szCs w:val="20"/>
                <w:lang w:val="lt-LT" w:eastAsia="en-US" w:bidi="ar-SA"/>
              </w:rPr>
              <w:t>KLEVAS SIDABRUOTASIS ‘CELZAM</w:t>
            </w:r>
            <w:r>
              <w:rPr>
                <w:rFonts w:eastAsia="Calibri" w:cs="Poppins Medium" w:ascii="Poppins Medium" w:hAnsi="Poppins Medium"/>
                <w:kern w:val="2"/>
                <w:szCs w:val="22"/>
                <w:lang w:val="lt-LT" w:eastAsia="en-US" w:bidi="ar-SA"/>
              </w:rPr>
              <w:t>‘</w:t>
            </w:r>
          </w:p>
        </w:tc>
        <w:tc>
          <w:tcPr>
            <w:tcW w:w="4545" w:type="dxa"/>
            <w:tcBorders>
              <w:left w:val="single" w:sz="4" w:space="0" w:color="000000"/>
              <w:bottom w:val="single" w:sz="4" w:space="0" w:color="000000"/>
            </w:tcBorders>
          </w:tcPr>
          <w:p>
            <w:pPr>
              <w:pStyle w:val="Normal"/>
              <w:spacing w:before="0" w:after="0"/>
              <w:ind w:hanging="0"/>
              <w:contextualSpacing/>
              <w:jc w:val="both"/>
              <w:rPr>
                <w:rFonts w:ascii="Arial" w:hAnsi="Arial" w:eastAsia="Calibri" w:cs=""/>
                <w:kern w:val="2"/>
                <w:sz w:val="20"/>
                <w:szCs w:val="20"/>
              </w:rPr>
            </w:pPr>
            <w:r>
              <w:rPr>
                <w:rFonts w:eastAsia="Calibri" w:cs="" w:ascii="Arial" w:hAnsi="Arial"/>
                <w:kern w:val="2"/>
                <w:sz w:val="20"/>
                <w:szCs w:val="20"/>
              </w:rPr>
              <w:t>Tai spartaus augimo medis, kompaktiška kūgio formos laja, kuris gali užaugti iki 10 – 15 m aukščio ir siekti 6 – 8 m plotį .Lapai giliai skiautėti, sudaryti iš 3 – 5 skilčių, 10 – 20 cm ilgio, tamsia žalia viršutine puse ir pilkšvai žalia apatine. Ankstyvą rudenį jie nusispalvina raudonais tonais, o vėliau įgauna ir geltonų atspalvių. Tinka sodinti saulėtoje ar dalinai pavėsingoje vietoje, vidutiniškai drėgnoje, bet laidžioje dirvoje. Puikiai tinka miesto gatvėms, nes augalas toleruoja grindinį bei oro taršą.</w:t>
            </w:r>
          </w:p>
          <w:p>
            <w:pPr>
              <w:pStyle w:val="Normal"/>
              <w:widowControl/>
              <w:spacing w:before="0" w:after="0"/>
              <w:ind w:hanging="0"/>
              <w:contextualSpacing/>
              <w:rPr>
                <w:rFonts w:eastAsia="Calibri" w:cs=""/>
                <w:kern w:val="2"/>
                <w:szCs w:val="22"/>
                <w:lang w:val="lt-LT" w:eastAsia="en-US" w:bidi="ar-SA"/>
              </w:rPr>
            </w:pPr>
            <w:r>
              <w:rPr>
                <w:rFonts w:eastAsia="Calibri" w:cs=""/>
                <w:kern w:val="2"/>
                <w:szCs w:val="22"/>
                <w:lang w:val="lt-LT" w:eastAsia="en-US" w:bidi="ar-SA"/>
              </w:rPr>
            </w:r>
          </w:p>
        </w:tc>
        <w:tc>
          <w:tcPr>
            <w:tcW w:w="3402" w:type="dxa"/>
            <w:tcBorders>
              <w:left w:val="single" w:sz="4" w:space="0" w:color="000000"/>
              <w:bottom w:val="single" w:sz="4" w:space="0" w:color="000000"/>
              <w:right w:val="single" w:sz="4" w:space="0" w:color="000000"/>
            </w:tcBorders>
          </w:tcPr>
          <w:p>
            <w:pPr>
              <w:pStyle w:val="Lentelsturinys"/>
              <w:spacing w:before="0" w:after="200"/>
              <w:rPr>
                <w:rFonts w:ascii="Arial" w:hAnsi="Arial"/>
                <w:sz w:val="20"/>
                <w:szCs w:val="20"/>
              </w:rPr>
            </w:pPr>
            <w:r>
              <w:rPr>
                <w:rFonts w:ascii="Arial" w:hAnsi="Arial"/>
                <w:sz w:val="20"/>
                <w:szCs w:val="20"/>
              </w:rPr>
              <w:drawing>
                <wp:anchor behindDoc="0" distT="0" distB="0" distL="114300" distR="114300" simplePos="0" locked="0" layoutInCell="1" allowOverlap="1" relativeHeight="188">
                  <wp:simplePos x="0" y="0"/>
                  <wp:positionH relativeFrom="column">
                    <wp:posOffset>1905</wp:posOffset>
                  </wp:positionH>
                  <wp:positionV relativeFrom="paragraph">
                    <wp:posOffset>35560</wp:posOffset>
                  </wp:positionV>
                  <wp:extent cx="1581150" cy="1933575"/>
                  <wp:effectExtent l="0" t="0" r="0" b="0"/>
                  <wp:wrapTight wrapText="bothSides">
                    <wp:wrapPolygon edited="0">
                      <wp:start x="-793" y="0"/>
                      <wp:lineTo x="-793" y="20428"/>
                      <wp:lineTo x="21134" y="20428"/>
                      <wp:lineTo x="21134" y="0"/>
                      <wp:lineTo x="-793" y="0"/>
                    </wp:wrapPolygon>
                  </wp:wrapTight>
                  <wp:docPr id="11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36"/>
                          <pic:cNvPicPr>
                            <a:picLocks noChangeAspect="1" noChangeArrowheads="1"/>
                          </pic:cNvPicPr>
                        </pic:nvPicPr>
                        <pic:blipFill>
                          <a:blip r:embed="rId114"/>
                          <a:stretch>
                            <a:fillRect/>
                          </a:stretch>
                        </pic:blipFill>
                        <pic:spPr bwMode="auto">
                          <a:xfrm>
                            <a:off x="0" y="0"/>
                            <a:ext cx="1581150" cy="1933575"/>
                          </a:xfrm>
                          <a:prstGeom prst="rect">
                            <a:avLst/>
                          </a:prstGeom>
                          <a:noFill/>
                        </pic:spPr>
                      </pic:pic>
                    </a:graphicData>
                  </a:graphic>
                </wp:anchor>
              </w:drawing>
            </w:r>
          </w:p>
        </w:tc>
      </w:tr>
      <w:tr>
        <w:trPr/>
        <w:tc>
          <w:tcPr>
            <w:tcW w:w="2258" w:type="dxa"/>
            <w:tcBorders>
              <w:left w:val="single" w:sz="4" w:space="0" w:color="000000"/>
              <w:bottom w:val="single" w:sz="4" w:space="0" w:color="000000"/>
            </w:tcBorders>
          </w:tcPr>
          <w:p>
            <w:pPr>
              <w:pStyle w:val="Lentelsturinys"/>
              <w:suppressAutoHyphens w:val="true"/>
              <w:bidi w:val="0"/>
              <w:spacing w:lineRule="auto" w:line="276" w:before="0" w:after="200"/>
              <w:jc w:val="left"/>
              <w:rPr>
                <w:rFonts w:ascii="Arial" w:hAnsi="Arial" w:eastAsia="Times New Roman" w:cs="Times New Roman"/>
                <w:color w:val="auto"/>
                <w:kern w:val="0"/>
                <w:sz w:val="20"/>
                <w:szCs w:val="20"/>
                <w:lang w:val="lt-LT" w:eastAsia="en-US" w:bidi="ar-SA"/>
              </w:rPr>
            </w:pPr>
            <w:r>
              <w:rPr>
                <w:rFonts w:eastAsia="Times New Roman" w:cs="Times New Roman" w:ascii="Arial" w:hAnsi="Arial"/>
                <w:color w:val="auto"/>
                <w:kern w:val="0"/>
                <w:sz w:val="20"/>
                <w:szCs w:val="20"/>
                <w:lang w:val="lt-LT" w:eastAsia="en-US" w:bidi="ar-SA"/>
              </w:rPr>
              <w:t>Lanksva šliaužiančioji</w:t>
            </w:r>
          </w:p>
        </w:tc>
        <w:tc>
          <w:tcPr>
            <w:tcW w:w="4545" w:type="dxa"/>
            <w:tcBorders>
              <w:left w:val="single" w:sz="4" w:space="0" w:color="000000"/>
              <w:bottom w:val="single" w:sz="4" w:space="0" w:color="000000"/>
            </w:tcBorders>
          </w:tcPr>
          <w:p>
            <w:pPr>
              <w:pStyle w:val="Normal"/>
              <w:spacing w:before="0" w:after="0"/>
              <w:ind w:hanging="0"/>
              <w:contextualSpacing/>
              <w:jc w:val="both"/>
              <w:rPr>
                <w:rFonts w:ascii="Arial" w:hAnsi="Arial" w:eastAsia="Calibri" w:cs=""/>
                <w:kern w:val="2"/>
                <w:sz w:val="20"/>
                <w:szCs w:val="20"/>
              </w:rPr>
            </w:pPr>
            <w:r>
              <w:rPr>
                <w:rFonts w:eastAsia="Calibri" w:cs="" w:ascii="Arial" w:hAnsi="Arial"/>
                <w:kern w:val="2"/>
                <w:sz w:val="20"/>
                <w:szCs w:val="20"/>
              </w:rPr>
              <w:t>Gausiai vešliai augantis nykštukinis krūmas su švelniais ūgliais, kylančiais baziniais ūgliais ir išsišakojusiomis šakomis. Sluoksniuojant suformuoja dideles uždaras masyvus su daugybe atžalų. Auga lėtai.</w:t>
            </w:r>
          </w:p>
        </w:tc>
        <w:tc>
          <w:tcPr>
            <w:tcW w:w="3402" w:type="dxa"/>
            <w:tcBorders>
              <w:left w:val="single" w:sz="4" w:space="0" w:color="000000"/>
              <w:bottom w:val="single" w:sz="4" w:space="0" w:color="000000"/>
              <w:right w:val="single" w:sz="4" w:space="0" w:color="000000"/>
            </w:tcBorders>
          </w:tcPr>
          <w:p>
            <w:pPr>
              <w:pStyle w:val="Lentelsturinys"/>
              <w:spacing w:before="0" w:after="200"/>
              <w:rPr>
                <w:rFonts w:ascii="Arial" w:hAnsi="Arial"/>
                <w:sz w:val="20"/>
                <w:szCs w:val="20"/>
              </w:rPr>
            </w:pPr>
            <w:r>
              <w:rPr/>
              <w:drawing>
                <wp:inline distT="0" distB="0" distL="0" distR="0">
                  <wp:extent cx="1247775" cy="1262380"/>
                  <wp:effectExtent l="0" t="0" r="0" b="0"/>
                  <wp:docPr id="120" name="Picture 23" descr="Zwergspiere - Spiraea decumbens günstig kauf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23" descr="Zwergspiere - Spiraea decumbens günstig kaufen"/>
                          <pic:cNvPicPr>
                            <a:picLocks noChangeAspect="1" noChangeArrowheads="1"/>
                          </pic:cNvPicPr>
                        </pic:nvPicPr>
                        <pic:blipFill>
                          <a:blip r:embed="rId115"/>
                          <a:stretch>
                            <a:fillRect/>
                          </a:stretch>
                        </pic:blipFill>
                        <pic:spPr bwMode="auto">
                          <a:xfrm>
                            <a:off x="0" y="0"/>
                            <a:ext cx="1247775" cy="1262380"/>
                          </a:xfrm>
                          <a:prstGeom prst="rect">
                            <a:avLst/>
                          </a:prstGeom>
                          <a:noFill/>
                        </pic:spPr>
                      </pic:pic>
                    </a:graphicData>
                  </a:graphic>
                </wp:inline>
              </w:drawing>
            </w:r>
          </w:p>
        </w:tc>
      </w:tr>
      <w:tr>
        <w:trPr/>
        <w:tc>
          <w:tcPr>
            <w:tcW w:w="2258" w:type="dxa"/>
            <w:tcBorders>
              <w:left w:val="single" w:sz="4" w:space="0" w:color="000000"/>
              <w:bottom w:val="single" w:sz="4" w:space="0" w:color="000000"/>
            </w:tcBorders>
          </w:tcPr>
          <w:p>
            <w:pPr>
              <w:pStyle w:val="Lentelsturinys"/>
              <w:suppressAutoHyphens w:val="true"/>
              <w:bidi w:val="0"/>
              <w:spacing w:lineRule="auto" w:line="276" w:before="0" w:after="200"/>
              <w:jc w:val="left"/>
              <w:rPr>
                <w:rFonts w:ascii="Arial" w:hAnsi="Arial" w:eastAsia="Times New Roman" w:cs="Times New Roman"/>
                <w:color w:val="auto"/>
                <w:kern w:val="0"/>
                <w:sz w:val="20"/>
                <w:szCs w:val="20"/>
                <w:lang w:val="lt-LT" w:eastAsia="en-US" w:bidi="ar-SA"/>
              </w:rPr>
            </w:pPr>
            <w:r>
              <w:rPr>
                <w:rFonts w:eastAsia="Times New Roman" w:cs="Times New Roman" w:ascii="Arial" w:hAnsi="Arial"/>
                <w:color w:val="auto"/>
                <w:kern w:val="0"/>
                <w:sz w:val="20"/>
                <w:szCs w:val="20"/>
                <w:lang w:val="lt-LT" w:eastAsia="en-US" w:bidi="ar-SA"/>
              </w:rPr>
              <w:t>Pilkoji lanksva ‘GREFSHEIM‘</w:t>
            </w:r>
          </w:p>
        </w:tc>
        <w:tc>
          <w:tcPr>
            <w:tcW w:w="4545" w:type="dxa"/>
            <w:tcBorders>
              <w:left w:val="single" w:sz="4" w:space="0" w:color="000000"/>
              <w:bottom w:val="single" w:sz="4" w:space="0" w:color="000000"/>
            </w:tcBorders>
          </w:tcPr>
          <w:p>
            <w:pPr>
              <w:pStyle w:val="Normal"/>
              <w:spacing w:before="0" w:after="0"/>
              <w:ind w:hanging="0"/>
              <w:contextualSpacing/>
              <w:jc w:val="both"/>
              <w:rPr>
                <w:rFonts w:ascii="Arial" w:hAnsi="Arial" w:eastAsia="Calibri" w:cs=""/>
                <w:kern w:val="2"/>
                <w:sz w:val="20"/>
                <w:szCs w:val="20"/>
              </w:rPr>
            </w:pPr>
            <w:r>
              <w:rPr>
                <w:rFonts w:eastAsia="Calibri" w:cs="" w:ascii="Arial" w:hAnsi="Arial"/>
                <w:kern w:val="2"/>
                <w:sz w:val="20"/>
                <w:szCs w:val="20"/>
              </w:rPr>
              <w:t>Vienas iš anksčiausiai žydinčių pavasarį krūmų lengvai svyrančiomis šakomis iki 2,0 m aukščio. Žydi itin gausiai baltais žiedais, kurie susitelkę ilguose, iki 25 cm žiedynuose, dar neišsiskleidus lapams. Sukuria balto kaip sniegas fontano vaizdą žydėjimo metu. Lapai siauri, matinės žalios spalvos, rudenį nusidažo geltonai.</w:t>
            </w:r>
          </w:p>
        </w:tc>
        <w:tc>
          <w:tcPr>
            <w:tcW w:w="3402" w:type="dxa"/>
            <w:tcBorders>
              <w:left w:val="single" w:sz="4" w:space="0" w:color="000000"/>
              <w:bottom w:val="single" w:sz="4" w:space="0" w:color="000000"/>
              <w:right w:val="single" w:sz="4" w:space="0" w:color="000000"/>
            </w:tcBorders>
          </w:tcPr>
          <w:p>
            <w:pPr>
              <w:pStyle w:val="Lentelsturinys"/>
              <w:spacing w:before="0" w:after="200"/>
              <w:rPr>
                <w:rFonts w:ascii="Arial" w:hAnsi="Arial"/>
                <w:sz w:val="20"/>
                <w:szCs w:val="20"/>
              </w:rPr>
            </w:pPr>
            <w:r>
              <w:rPr>
                <w:rFonts w:ascii="Arial" w:hAnsi="Arial"/>
                <w:sz w:val="20"/>
                <w:szCs w:val="20"/>
              </w:rPr>
              <w:drawing>
                <wp:anchor behindDoc="0" distT="0" distB="0" distL="114300" distR="114300" simplePos="0" locked="0" layoutInCell="1" allowOverlap="1" relativeHeight="189">
                  <wp:simplePos x="0" y="0"/>
                  <wp:positionH relativeFrom="column">
                    <wp:posOffset>1905</wp:posOffset>
                  </wp:positionH>
                  <wp:positionV relativeFrom="paragraph">
                    <wp:posOffset>104775</wp:posOffset>
                  </wp:positionV>
                  <wp:extent cx="1669415" cy="1501140"/>
                  <wp:effectExtent l="0" t="0" r="0" b="0"/>
                  <wp:wrapTight wrapText="bothSides">
                    <wp:wrapPolygon edited="0">
                      <wp:start x="-11" y="0"/>
                      <wp:lineTo x="-11" y="21446"/>
                      <wp:lineTo x="21424" y="21446"/>
                      <wp:lineTo x="21424" y="0"/>
                      <wp:lineTo x="-11" y="0"/>
                    </wp:wrapPolygon>
                  </wp:wrapTight>
                  <wp:docPr id="121" name="Image11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Image11 Copy 1"/>
                          <pic:cNvPicPr>
                            <a:picLocks noChangeAspect="1" noChangeArrowheads="1"/>
                          </pic:cNvPicPr>
                        </pic:nvPicPr>
                        <pic:blipFill>
                          <a:blip r:embed="rId116"/>
                          <a:stretch>
                            <a:fillRect/>
                          </a:stretch>
                        </pic:blipFill>
                        <pic:spPr bwMode="auto">
                          <a:xfrm>
                            <a:off x="0" y="0"/>
                            <a:ext cx="1669415" cy="1501140"/>
                          </a:xfrm>
                          <a:prstGeom prst="rect">
                            <a:avLst/>
                          </a:prstGeom>
                          <a:noFill/>
                        </pic:spPr>
                      </pic:pic>
                    </a:graphicData>
                  </a:graphic>
                </wp:anchor>
              </w:drawing>
            </w:r>
          </w:p>
        </w:tc>
      </w:tr>
      <w:tr>
        <w:trPr/>
        <w:tc>
          <w:tcPr>
            <w:tcW w:w="2258" w:type="dxa"/>
            <w:tcBorders>
              <w:left w:val="single" w:sz="4" w:space="0" w:color="000000"/>
              <w:bottom w:val="single" w:sz="4" w:space="0" w:color="000000"/>
            </w:tcBorders>
          </w:tcPr>
          <w:p>
            <w:pPr>
              <w:pStyle w:val="Lentelsturinys"/>
              <w:suppressAutoHyphens w:val="true"/>
              <w:bidi w:val="0"/>
              <w:spacing w:lineRule="auto" w:line="276" w:before="0" w:after="200"/>
              <w:jc w:val="left"/>
              <w:rPr>
                <w:rFonts w:ascii="Arial" w:hAnsi="Arial" w:eastAsia="Times New Roman" w:cs="Times New Roman"/>
                <w:color w:val="auto"/>
                <w:kern w:val="0"/>
                <w:sz w:val="20"/>
                <w:szCs w:val="20"/>
                <w:lang w:val="lt-LT" w:eastAsia="en-US" w:bidi="ar-SA"/>
              </w:rPr>
            </w:pPr>
            <w:r>
              <w:rPr>
                <w:rFonts w:eastAsia="Times New Roman" w:cs="Times New Roman" w:ascii="Arial" w:hAnsi="Arial"/>
                <w:color w:val="auto"/>
                <w:kern w:val="0"/>
                <w:sz w:val="20"/>
                <w:szCs w:val="20"/>
                <w:lang w:val="lt-LT" w:eastAsia="en-US" w:bidi="ar-SA"/>
              </w:rPr>
              <w:t>Rudeninis mėlitas</w:t>
            </w:r>
          </w:p>
        </w:tc>
        <w:tc>
          <w:tcPr>
            <w:tcW w:w="4545" w:type="dxa"/>
            <w:tcBorders>
              <w:left w:val="single" w:sz="4" w:space="0" w:color="000000"/>
              <w:bottom w:val="single" w:sz="4" w:space="0" w:color="000000"/>
            </w:tcBorders>
          </w:tcPr>
          <w:p>
            <w:pPr>
              <w:pStyle w:val="Normal"/>
              <w:spacing w:before="0" w:after="0"/>
              <w:ind w:hanging="0"/>
              <w:contextualSpacing/>
              <w:jc w:val="both"/>
              <w:rPr>
                <w:rFonts w:ascii="Arial" w:hAnsi="Arial" w:eastAsia="Calibri" w:cs=""/>
                <w:kern w:val="2"/>
                <w:sz w:val="20"/>
                <w:szCs w:val="20"/>
              </w:rPr>
            </w:pPr>
            <w:r>
              <w:rPr>
                <w:rFonts w:eastAsia="Calibri" w:cs="" w:ascii="Arial" w:hAnsi="Arial"/>
                <w:kern w:val="2"/>
                <w:sz w:val="20"/>
                <w:szCs w:val="20"/>
              </w:rPr>
              <w:t>Rudeninis mėlitas plačiai natūralistiniame apželdinime naudojamas žolinis augalas. Šis visžalis/pusiau visžalis augalas auga kompaktišku keru. Gaiviai žalsvi lapai kontrastuoja su kitais daugiamečiais augalais. Nereiklus augalas auga sauletoje ar pusiau saulėtoje vietoje. Toleruoja ir sausesnius ir drėgnesnius įvairaus tipo dirvožemius.</w:t>
            </w:r>
          </w:p>
        </w:tc>
        <w:tc>
          <w:tcPr>
            <w:tcW w:w="3402" w:type="dxa"/>
            <w:tcBorders>
              <w:left w:val="single" w:sz="4" w:space="0" w:color="000000"/>
              <w:bottom w:val="single" w:sz="4" w:space="0" w:color="000000"/>
              <w:right w:val="single" w:sz="4" w:space="0" w:color="000000"/>
            </w:tcBorders>
          </w:tcPr>
          <w:p>
            <w:pPr>
              <w:pStyle w:val="Lentelsturinys"/>
              <w:spacing w:before="0" w:after="200"/>
              <w:rPr>
                <w:rFonts w:ascii="Arial" w:hAnsi="Arial"/>
                <w:sz w:val="20"/>
                <w:szCs w:val="20"/>
              </w:rPr>
            </w:pPr>
            <w:r>
              <w:rPr>
                <w:rFonts w:ascii="Arial" w:hAnsi="Arial"/>
                <w:sz w:val="20"/>
                <w:szCs w:val="20"/>
              </w:rPr>
              <w:drawing>
                <wp:anchor behindDoc="0" distT="0" distB="0" distL="114300" distR="114300" simplePos="0" locked="0" layoutInCell="1" allowOverlap="1" relativeHeight="190">
                  <wp:simplePos x="0" y="0"/>
                  <wp:positionH relativeFrom="column">
                    <wp:posOffset>1905</wp:posOffset>
                  </wp:positionH>
                  <wp:positionV relativeFrom="paragraph">
                    <wp:posOffset>140335</wp:posOffset>
                  </wp:positionV>
                  <wp:extent cx="1903730" cy="1204595"/>
                  <wp:effectExtent l="0" t="0" r="0" b="0"/>
                  <wp:wrapTight wrapText="bothSides">
                    <wp:wrapPolygon edited="0">
                      <wp:start x="-10" y="0"/>
                      <wp:lineTo x="-10" y="21382"/>
                      <wp:lineTo x="21427" y="21382"/>
                      <wp:lineTo x="21427" y="0"/>
                      <wp:lineTo x="-10" y="0"/>
                    </wp:wrapPolygon>
                  </wp:wrapTight>
                  <wp:docPr id="122" name="Picture 26" descr="Sesleria autumnalis - Pépinière L'autre Jard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26" descr="Sesleria autumnalis - Pépinière L'autre Jardin"/>
                          <pic:cNvPicPr>
                            <a:picLocks noChangeAspect="1" noChangeArrowheads="1"/>
                          </pic:cNvPicPr>
                        </pic:nvPicPr>
                        <pic:blipFill>
                          <a:blip r:embed="rId117"/>
                          <a:stretch>
                            <a:fillRect/>
                          </a:stretch>
                        </pic:blipFill>
                        <pic:spPr bwMode="auto">
                          <a:xfrm>
                            <a:off x="0" y="0"/>
                            <a:ext cx="1903730" cy="1204595"/>
                          </a:xfrm>
                          <a:prstGeom prst="rect">
                            <a:avLst/>
                          </a:prstGeom>
                          <a:noFill/>
                        </pic:spPr>
                      </pic:pic>
                    </a:graphicData>
                  </a:graphic>
                </wp:anchor>
              </w:drawing>
            </w:r>
          </w:p>
        </w:tc>
      </w:tr>
      <w:tr>
        <w:trPr/>
        <w:tc>
          <w:tcPr>
            <w:tcW w:w="2258" w:type="dxa"/>
            <w:tcBorders>
              <w:left w:val="single" w:sz="4" w:space="0" w:color="000000"/>
              <w:bottom w:val="single" w:sz="4" w:space="0" w:color="000000"/>
            </w:tcBorders>
          </w:tcPr>
          <w:p>
            <w:pPr>
              <w:pStyle w:val="Lentelsturinys"/>
              <w:suppressAutoHyphens w:val="true"/>
              <w:bidi w:val="0"/>
              <w:spacing w:lineRule="auto" w:line="276" w:before="0" w:after="200"/>
              <w:jc w:val="left"/>
              <w:rPr>
                <w:rFonts w:ascii="Arial" w:hAnsi="Arial" w:eastAsia="Times New Roman" w:cs="Times New Roman"/>
                <w:color w:val="auto"/>
                <w:kern w:val="0"/>
                <w:sz w:val="20"/>
                <w:szCs w:val="20"/>
                <w:lang w:val="lt-LT" w:eastAsia="en-US" w:bidi="ar-SA"/>
              </w:rPr>
            </w:pPr>
            <w:r>
              <w:rPr>
                <w:rFonts w:eastAsia="Times New Roman" w:cs="Times New Roman" w:ascii="Arial" w:hAnsi="Arial"/>
                <w:color w:val="auto"/>
                <w:kern w:val="0"/>
                <w:sz w:val="20"/>
                <w:szCs w:val="20"/>
                <w:lang w:val="lt-LT" w:eastAsia="en-US" w:bidi="ar-SA"/>
              </w:rPr>
              <w:t>Makedoninė buožainė</w:t>
            </w:r>
          </w:p>
        </w:tc>
        <w:tc>
          <w:tcPr>
            <w:tcW w:w="4545" w:type="dxa"/>
            <w:tcBorders>
              <w:left w:val="single" w:sz="4" w:space="0" w:color="000000"/>
              <w:bottom w:val="single" w:sz="4" w:space="0" w:color="000000"/>
            </w:tcBorders>
          </w:tcPr>
          <w:p>
            <w:pPr>
              <w:pStyle w:val="Normal"/>
              <w:spacing w:before="0" w:after="0"/>
              <w:ind w:hanging="0"/>
              <w:contextualSpacing/>
              <w:jc w:val="both"/>
              <w:rPr>
                <w:rFonts w:ascii="Arial" w:hAnsi="Arial" w:eastAsia="Calibri" w:cs=""/>
                <w:kern w:val="2"/>
                <w:sz w:val="20"/>
                <w:szCs w:val="20"/>
              </w:rPr>
            </w:pPr>
            <w:r>
              <w:rPr>
                <w:rFonts w:eastAsia="Calibri" w:cs="" w:ascii="Arial" w:hAnsi="Arial"/>
                <w:kern w:val="2"/>
                <w:sz w:val="20"/>
                <w:szCs w:val="20"/>
              </w:rPr>
              <w:t>Kupsteliu auganti daugiametė gėlė disko formos burgundiškos raudonos spalvos žiedais. Žiedų stiebai žemi, žydi birželio – rugsėjo mėnesiais. Auga saulėtoje vietoje ar daliniame pavėsyje vandeniui laidžiame dirvožemyje.</w:t>
            </w:r>
          </w:p>
        </w:tc>
        <w:tc>
          <w:tcPr>
            <w:tcW w:w="3402" w:type="dxa"/>
            <w:tcBorders>
              <w:left w:val="single" w:sz="4" w:space="0" w:color="000000"/>
              <w:bottom w:val="single" w:sz="4" w:space="0" w:color="000000"/>
              <w:right w:val="single" w:sz="4" w:space="0" w:color="000000"/>
            </w:tcBorders>
          </w:tcPr>
          <w:p>
            <w:pPr>
              <w:pStyle w:val="Lentelsturinys"/>
              <w:spacing w:before="0" w:after="200"/>
              <w:rPr>
                <w:rFonts w:ascii="Arial" w:hAnsi="Arial"/>
                <w:sz w:val="20"/>
                <w:szCs w:val="20"/>
              </w:rPr>
            </w:pPr>
            <w:r>
              <w:rPr/>
              <w:drawing>
                <wp:inline distT="0" distB="0" distL="0" distR="0">
                  <wp:extent cx="1026795" cy="1026795"/>
                  <wp:effectExtent l="0" t="0" r="0" b="0"/>
                  <wp:docPr id="12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27"/>
                          <pic:cNvPicPr>
                            <a:picLocks noChangeAspect="1" noChangeArrowheads="1"/>
                          </pic:cNvPicPr>
                        </pic:nvPicPr>
                        <pic:blipFill>
                          <a:blip r:embed="rId118"/>
                          <a:stretch>
                            <a:fillRect/>
                          </a:stretch>
                        </pic:blipFill>
                        <pic:spPr bwMode="auto">
                          <a:xfrm>
                            <a:off x="0" y="0"/>
                            <a:ext cx="1026795" cy="1026795"/>
                          </a:xfrm>
                          <a:prstGeom prst="rect">
                            <a:avLst/>
                          </a:prstGeom>
                          <a:noFill/>
                        </pic:spPr>
                      </pic:pic>
                    </a:graphicData>
                  </a:graphic>
                </wp:inline>
              </w:drawing>
            </w:r>
          </w:p>
        </w:tc>
      </w:tr>
      <w:tr>
        <w:trPr/>
        <w:tc>
          <w:tcPr>
            <w:tcW w:w="2258" w:type="dxa"/>
            <w:tcBorders>
              <w:left w:val="single" w:sz="4" w:space="0" w:color="000000"/>
              <w:bottom w:val="single" w:sz="4" w:space="0" w:color="000000"/>
            </w:tcBorders>
          </w:tcPr>
          <w:p>
            <w:pPr>
              <w:pStyle w:val="Lentelsturinys"/>
              <w:suppressAutoHyphens w:val="true"/>
              <w:bidi w:val="0"/>
              <w:spacing w:lineRule="auto" w:line="276" w:before="0" w:after="200"/>
              <w:jc w:val="left"/>
              <w:rPr>
                <w:rFonts w:ascii="Arial" w:hAnsi="Arial" w:eastAsia="Times New Roman" w:cs="Times New Roman"/>
                <w:color w:val="auto"/>
                <w:kern w:val="0"/>
                <w:sz w:val="20"/>
                <w:szCs w:val="20"/>
                <w:lang w:val="lt-LT" w:eastAsia="en-US" w:bidi="ar-SA"/>
              </w:rPr>
            </w:pPr>
            <w:r>
              <w:rPr>
                <w:rFonts w:eastAsia="Times New Roman" w:cs="Times New Roman" w:ascii="Arial" w:hAnsi="Arial"/>
                <w:color w:val="auto"/>
                <w:kern w:val="0"/>
                <w:sz w:val="20"/>
                <w:szCs w:val="20"/>
                <w:lang w:val="lt-LT" w:eastAsia="en-US" w:bidi="ar-SA"/>
              </w:rPr>
              <w:t>Siauralapė ežiuolė</w:t>
            </w:r>
          </w:p>
        </w:tc>
        <w:tc>
          <w:tcPr>
            <w:tcW w:w="4545" w:type="dxa"/>
            <w:tcBorders>
              <w:left w:val="single" w:sz="4" w:space="0" w:color="000000"/>
              <w:bottom w:val="single" w:sz="4" w:space="0" w:color="000000"/>
            </w:tcBorders>
          </w:tcPr>
          <w:p>
            <w:pPr>
              <w:pStyle w:val="Normal"/>
              <w:spacing w:before="0" w:after="0"/>
              <w:ind w:hanging="0"/>
              <w:contextualSpacing/>
              <w:jc w:val="both"/>
              <w:rPr>
                <w:rFonts w:ascii="Arial" w:hAnsi="Arial" w:eastAsia="Calibri" w:cs=""/>
                <w:kern w:val="2"/>
                <w:sz w:val="20"/>
                <w:szCs w:val="20"/>
              </w:rPr>
            </w:pPr>
            <w:r>
              <w:rPr>
                <w:rFonts w:eastAsia="Calibri" w:cs="" w:ascii="Arial" w:hAnsi="Arial"/>
                <w:kern w:val="2"/>
                <w:sz w:val="20"/>
                <w:szCs w:val="20"/>
              </w:rPr>
              <w:t>Viena populiariausių daugiamečių gėlių natūralistinio stiliaus gėlynuose. Gausus žydėjimas, nereiklumas augimo sąlygoms. Ideali gėlė didesniuose gėlynuose, greitai plečiasi, sudaro masyvus. Stambūs, išsidėstę pavieniui žiedynai žydi nuo birželio iki rugpjūčio.</w:t>
            </w:r>
          </w:p>
        </w:tc>
        <w:tc>
          <w:tcPr>
            <w:tcW w:w="3402" w:type="dxa"/>
            <w:tcBorders>
              <w:left w:val="single" w:sz="4" w:space="0" w:color="000000"/>
              <w:bottom w:val="single" w:sz="4" w:space="0" w:color="000000"/>
              <w:right w:val="single" w:sz="4" w:space="0" w:color="000000"/>
            </w:tcBorders>
          </w:tcPr>
          <w:p>
            <w:pPr>
              <w:pStyle w:val="Lentelsturinys"/>
              <w:spacing w:before="0" w:after="200"/>
              <w:rPr>
                <w:rFonts w:ascii="Arial" w:hAnsi="Arial"/>
                <w:sz w:val="20"/>
                <w:szCs w:val="20"/>
              </w:rPr>
            </w:pPr>
            <w:r>
              <w:rPr/>
              <w:drawing>
                <wp:inline distT="0" distB="0" distL="0" distR="0">
                  <wp:extent cx="1450340" cy="1139190"/>
                  <wp:effectExtent l="0" t="0" r="0" b="0"/>
                  <wp:docPr id="12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29"/>
                          <pic:cNvPicPr>
                            <a:picLocks noChangeAspect="1" noChangeArrowheads="1"/>
                          </pic:cNvPicPr>
                        </pic:nvPicPr>
                        <pic:blipFill>
                          <a:blip r:embed="rId119"/>
                          <a:stretch>
                            <a:fillRect/>
                          </a:stretch>
                        </pic:blipFill>
                        <pic:spPr bwMode="auto">
                          <a:xfrm>
                            <a:off x="0" y="0"/>
                            <a:ext cx="1450340" cy="1139190"/>
                          </a:xfrm>
                          <a:prstGeom prst="rect">
                            <a:avLst/>
                          </a:prstGeom>
                          <a:noFill/>
                        </pic:spPr>
                      </pic:pic>
                    </a:graphicData>
                  </a:graphic>
                </wp:inline>
              </w:drawing>
            </w:r>
          </w:p>
        </w:tc>
      </w:tr>
      <w:tr>
        <w:trPr/>
        <w:tc>
          <w:tcPr>
            <w:tcW w:w="2258" w:type="dxa"/>
            <w:tcBorders>
              <w:left w:val="single" w:sz="4" w:space="0" w:color="000000"/>
              <w:bottom w:val="single" w:sz="4" w:space="0" w:color="000000"/>
            </w:tcBorders>
          </w:tcPr>
          <w:p>
            <w:pPr>
              <w:pStyle w:val="Lentelsturinys"/>
              <w:suppressAutoHyphens w:val="true"/>
              <w:bidi w:val="0"/>
              <w:spacing w:lineRule="auto" w:line="276" w:before="0" w:after="200"/>
              <w:jc w:val="left"/>
              <w:rPr>
                <w:rFonts w:ascii="Arial" w:hAnsi="Arial" w:eastAsia="Times New Roman" w:cs="Times New Roman"/>
                <w:color w:val="auto"/>
                <w:kern w:val="0"/>
                <w:sz w:val="20"/>
                <w:szCs w:val="20"/>
                <w:lang w:val="lt-LT" w:eastAsia="en-US" w:bidi="ar-SA"/>
              </w:rPr>
            </w:pPr>
            <w:r>
              <w:rPr>
                <w:rFonts w:eastAsia="Times New Roman" w:cs="Times New Roman" w:ascii="Arial" w:hAnsi="Arial"/>
                <w:color w:val="auto"/>
                <w:kern w:val="0"/>
                <w:sz w:val="20"/>
                <w:szCs w:val="20"/>
                <w:lang w:val="lt-LT" w:eastAsia="en-US" w:bidi="ar-SA"/>
              </w:rPr>
              <w:t>Sidabražolė krūminė ‘Pink Queen‘</w:t>
            </w:r>
          </w:p>
        </w:tc>
        <w:tc>
          <w:tcPr>
            <w:tcW w:w="4545" w:type="dxa"/>
            <w:tcBorders>
              <w:left w:val="single" w:sz="4" w:space="0" w:color="000000"/>
              <w:bottom w:val="single" w:sz="4" w:space="0" w:color="000000"/>
            </w:tcBorders>
          </w:tcPr>
          <w:p>
            <w:pPr>
              <w:pStyle w:val="Normal"/>
              <w:spacing w:before="0" w:after="0"/>
              <w:ind w:hanging="0"/>
              <w:contextualSpacing/>
              <w:jc w:val="both"/>
              <w:rPr>
                <w:rFonts w:ascii="Arial" w:hAnsi="Arial" w:eastAsia="Calibri" w:cs=""/>
                <w:kern w:val="2"/>
                <w:sz w:val="20"/>
                <w:szCs w:val="20"/>
              </w:rPr>
            </w:pPr>
            <w:r>
              <w:rPr>
                <w:rFonts w:eastAsia="Calibri" w:cs="" w:ascii="Arial" w:hAnsi="Arial"/>
                <w:kern w:val="2"/>
                <w:sz w:val="20"/>
                <w:szCs w:val="20"/>
              </w:rPr>
              <w:t>Dailus, dekoratyvus, apvalios formos krūmas, vertinamas dėl savo nereiklumo bei labai ilgo žydėjimo, kuris tęsiasi nuo vasaros pradžios iki pirmų šalnų Nereiklus dirvai, atsparus sausrai ir šalčiui,  mėgstantis saulę, pakantus formavimui, jis puikiai tinka sodinti tiek pavieniui, tiek grupėse, tiek formuoti žemas gyvatvores. Gausiausiai žydi saulėtoje vietoje, tačiau gali augti ir daliniame pavėsyje.</w:t>
            </w:r>
          </w:p>
        </w:tc>
        <w:tc>
          <w:tcPr>
            <w:tcW w:w="3402" w:type="dxa"/>
            <w:tcBorders>
              <w:left w:val="single" w:sz="4" w:space="0" w:color="000000"/>
              <w:bottom w:val="single" w:sz="4" w:space="0" w:color="000000"/>
              <w:right w:val="single" w:sz="4" w:space="0" w:color="000000"/>
            </w:tcBorders>
          </w:tcPr>
          <w:p>
            <w:pPr>
              <w:pStyle w:val="Lentelsturinys"/>
              <w:spacing w:before="0" w:after="200"/>
              <w:rPr>
                <w:rFonts w:ascii="Arial" w:hAnsi="Arial"/>
                <w:sz w:val="20"/>
                <w:szCs w:val="20"/>
              </w:rPr>
            </w:pPr>
            <w:r>
              <w:rPr>
                <w:rFonts w:ascii="Arial" w:hAnsi="Arial"/>
                <w:sz w:val="20"/>
                <w:szCs w:val="20"/>
              </w:rPr>
              <w:drawing>
                <wp:anchor behindDoc="0" distT="0" distB="0" distL="114300" distR="114300" simplePos="0" locked="0" layoutInCell="1" allowOverlap="1" relativeHeight="191">
                  <wp:simplePos x="0" y="0"/>
                  <wp:positionH relativeFrom="column">
                    <wp:posOffset>71755</wp:posOffset>
                  </wp:positionH>
                  <wp:positionV relativeFrom="paragraph">
                    <wp:posOffset>18415</wp:posOffset>
                  </wp:positionV>
                  <wp:extent cx="1605280" cy="1605280"/>
                  <wp:effectExtent l="0" t="0" r="0" b="0"/>
                  <wp:wrapTight wrapText="bothSides">
                    <wp:wrapPolygon edited="0">
                      <wp:start x="-315" y="0"/>
                      <wp:lineTo x="-315" y="21130"/>
                      <wp:lineTo x="21444" y="21130"/>
                      <wp:lineTo x="21444" y="0"/>
                      <wp:lineTo x="-315" y="0"/>
                    </wp:wrapPolygon>
                  </wp:wrapTight>
                  <wp:docPr id="125" name="Image12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Image12 Copy 1"/>
                          <pic:cNvPicPr>
                            <a:picLocks noChangeAspect="1" noChangeArrowheads="1"/>
                          </pic:cNvPicPr>
                        </pic:nvPicPr>
                        <pic:blipFill>
                          <a:blip r:embed="rId120"/>
                          <a:stretch>
                            <a:fillRect/>
                          </a:stretch>
                        </pic:blipFill>
                        <pic:spPr bwMode="auto">
                          <a:xfrm>
                            <a:off x="0" y="0"/>
                            <a:ext cx="1605280" cy="1605280"/>
                          </a:xfrm>
                          <a:prstGeom prst="rect">
                            <a:avLst/>
                          </a:prstGeom>
                          <a:noFill/>
                        </pic:spPr>
                      </pic:pic>
                    </a:graphicData>
                  </a:graphic>
                </wp:anchor>
              </w:drawing>
            </w:r>
          </w:p>
        </w:tc>
      </w:tr>
      <w:tr>
        <w:trPr/>
        <w:tc>
          <w:tcPr>
            <w:tcW w:w="2258" w:type="dxa"/>
            <w:tcBorders>
              <w:left w:val="single" w:sz="4" w:space="0" w:color="000000"/>
              <w:bottom w:val="single" w:sz="4" w:space="0" w:color="000000"/>
            </w:tcBorders>
          </w:tcPr>
          <w:p>
            <w:pPr>
              <w:pStyle w:val="Normal"/>
              <w:spacing w:before="0" w:after="0"/>
              <w:ind w:hanging="0"/>
              <w:contextualSpacing/>
              <w:rPr>
                <w:rFonts w:ascii="Arial" w:hAnsi="Arial" w:eastAsia="Calibri" w:cs=""/>
                <w:kern w:val="2"/>
                <w:sz w:val="20"/>
                <w:szCs w:val="20"/>
              </w:rPr>
            </w:pPr>
            <w:r>
              <w:rPr>
                <w:rFonts w:eastAsia="Calibri" w:cs="" w:ascii="Arial" w:hAnsi="Arial"/>
                <w:kern w:val="2"/>
                <w:sz w:val="20"/>
                <w:szCs w:val="20"/>
              </w:rPr>
              <w:t>Kelminis papartis</w:t>
            </w:r>
          </w:p>
        </w:tc>
        <w:tc>
          <w:tcPr>
            <w:tcW w:w="4545" w:type="dxa"/>
            <w:tcBorders>
              <w:left w:val="single" w:sz="4" w:space="0" w:color="000000"/>
              <w:bottom w:val="single" w:sz="4" w:space="0" w:color="000000"/>
            </w:tcBorders>
          </w:tcPr>
          <w:p>
            <w:pPr>
              <w:pStyle w:val="Normal"/>
              <w:spacing w:before="0" w:after="0"/>
              <w:ind w:hanging="0"/>
              <w:contextualSpacing/>
              <w:rPr>
                <w:rFonts w:ascii="Arial" w:hAnsi="Arial" w:eastAsia="Calibri" w:cs=""/>
                <w:kern w:val="2"/>
                <w:sz w:val="20"/>
                <w:szCs w:val="20"/>
              </w:rPr>
            </w:pPr>
            <w:r>
              <w:rPr>
                <w:rFonts w:eastAsia="Calibri" w:cs="" w:ascii="Arial" w:hAnsi="Arial"/>
                <w:kern w:val="2"/>
                <w:sz w:val="20"/>
                <w:szCs w:val="20"/>
              </w:rPr>
              <w:t>Ryškiai žalios spalvos  papartis,suteiksiantis šviesos ir elegancijos pavėsingoms vietoms. Mėgsta derlingą, drėgną dirvožemį pavėsingoje arba dalinio pavėsio vietose.</w:t>
            </w:r>
          </w:p>
        </w:tc>
        <w:tc>
          <w:tcPr>
            <w:tcW w:w="3402" w:type="dxa"/>
            <w:tcBorders>
              <w:left w:val="single" w:sz="4" w:space="0" w:color="000000"/>
              <w:bottom w:val="single" w:sz="4" w:space="0" w:color="000000"/>
              <w:right w:val="single" w:sz="4" w:space="0" w:color="000000"/>
            </w:tcBorders>
          </w:tcPr>
          <w:p>
            <w:pPr>
              <w:pStyle w:val="Lentelsturinys"/>
              <w:spacing w:before="0" w:after="200"/>
              <w:rPr>
                <w:rFonts w:ascii="Arial" w:hAnsi="Arial"/>
                <w:sz w:val="20"/>
                <w:szCs w:val="20"/>
              </w:rPr>
            </w:pPr>
            <w:r>
              <w:rPr>
                <w:rFonts w:ascii="Arial" w:hAnsi="Arial"/>
                <w:sz w:val="20"/>
                <w:szCs w:val="20"/>
              </w:rPr>
              <w:drawing>
                <wp:anchor behindDoc="0" distT="0" distB="0" distL="114300" distR="114300" simplePos="0" locked="0" layoutInCell="1" allowOverlap="1" relativeHeight="192">
                  <wp:simplePos x="0" y="0"/>
                  <wp:positionH relativeFrom="column">
                    <wp:posOffset>49530</wp:posOffset>
                  </wp:positionH>
                  <wp:positionV relativeFrom="paragraph">
                    <wp:posOffset>92710</wp:posOffset>
                  </wp:positionV>
                  <wp:extent cx="1779905" cy="1311910"/>
                  <wp:effectExtent l="0" t="0" r="0" b="0"/>
                  <wp:wrapTight wrapText="bothSides">
                    <wp:wrapPolygon edited="0">
                      <wp:start x="-17" y="0"/>
                      <wp:lineTo x="-17" y="21256"/>
                      <wp:lineTo x="21420" y="21256"/>
                      <wp:lineTo x="21420" y="0"/>
                      <wp:lineTo x="-17" y="0"/>
                    </wp:wrapPolygon>
                  </wp:wrapTight>
                  <wp:docPr id="126" name="Image13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13 Copy 1"/>
                          <pic:cNvPicPr>
                            <a:picLocks noChangeAspect="1" noChangeArrowheads="1"/>
                          </pic:cNvPicPr>
                        </pic:nvPicPr>
                        <pic:blipFill>
                          <a:blip r:embed="rId121"/>
                          <a:srcRect l="0" t="12950" r="0" b="13329"/>
                          <a:stretch>
                            <a:fillRect/>
                          </a:stretch>
                        </pic:blipFill>
                        <pic:spPr bwMode="auto">
                          <a:xfrm>
                            <a:off x="0" y="0"/>
                            <a:ext cx="1779905" cy="1311910"/>
                          </a:xfrm>
                          <a:prstGeom prst="rect">
                            <a:avLst/>
                          </a:prstGeom>
                          <a:noFill/>
                        </pic:spPr>
                      </pic:pic>
                    </a:graphicData>
                  </a:graphic>
                </wp:anchor>
              </w:drawing>
            </w:r>
          </w:p>
        </w:tc>
      </w:tr>
      <w:tr>
        <w:trPr/>
        <w:tc>
          <w:tcPr>
            <w:tcW w:w="2258" w:type="dxa"/>
            <w:tcBorders>
              <w:left w:val="single" w:sz="4" w:space="0" w:color="000000"/>
              <w:bottom w:val="single" w:sz="4" w:space="0" w:color="000000"/>
            </w:tcBorders>
          </w:tcPr>
          <w:p>
            <w:pPr>
              <w:pStyle w:val="Normal"/>
              <w:spacing w:before="0" w:after="0"/>
              <w:ind w:hanging="0"/>
              <w:contextualSpacing/>
              <w:rPr>
                <w:rFonts w:ascii="Arial" w:hAnsi="Arial" w:eastAsia="Calibri" w:cs=""/>
                <w:kern w:val="2"/>
                <w:sz w:val="20"/>
                <w:szCs w:val="20"/>
              </w:rPr>
            </w:pPr>
            <w:r>
              <w:rPr>
                <w:rFonts w:eastAsia="Calibri" w:cs="" w:ascii="Arial" w:hAnsi="Arial"/>
                <w:kern w:val="2"/>
                <w:sz w:val="20"/>
                <w:szCs w:val="20"/>
              </w:rPr>
              <w:t>Stefanandra karpytalapė ‘CRISPA‘</w:t>
            </w:r>
          </w:p>
        </w:tc>
        <w:tc>
          <w:tcPr>
            <w:tcW w:w="4545" w:type="dxa"/>
            <w:tcBorders>
              <w:left w:val="single" w:sz="4" w:space="0" w:color="000000"/>
              <w:bottom w:val="single" w:sz="4" w:space="0" w:color="000000"/>
            </w:tcBorders>
          </w:tcPr>
          <w:p>
            <w:pPr>
              <w:pStyle w:val="Normal"/>
              <w:widowControl/>
              <w:spacing w:before="0" w:after="0"/>
              <w:ind w:hanging="0"/>
              <w:contextualSpacing/>
              <w:rPr>
                <w:rFonts w:eastAsia="Calibri" w:cs=""/>
                <w:kern w:val="2"/>
                <w:szCs w:val="22"/>
                <w:lang w:val="lt-LT" w:eastAsia="en-US" w:bidi="ar-SA"/>
              </w:rPr>
            </w:pPr>
            <w:r>
              <w:rPr>
                <w:rFonts w:eastAsia="Calibri" w:cs="" w:ascii="Arial" w:hAnsi="Arial"/>
                <w:color w:val="auto"/>
                <w:kern w:val="2"/>
                <w:sz w:val="20"/>
                <w:szCs w:val="20"/>
                <w:lang w:val="lt-LT" w:eastAsia="en-US" w:bidi="ar-SA"/>
              </w:rPr>
              <w:t>Nedidelio augumo platus krūmas, iki 0,5 – 0,6 m aukščio ir 1,2 – 1,5 m pločio laja. Šakos lenktos, prie žemės linkę įsišaknyti. Lapai giliai karpyti, tamsiai žali, rudenį nusidažo geltonais ir oranžiniais atspalviais. Žiedai balti, susitelkę skėtiniuose žiedynuose.</w:t>
            </w:r>
          </w:p>
        </w:tc>
        <w:tc>
          <w:tcPr>
            <w:tcW w:w="3402" w:type="dxa"/>
            <w:tcBorders>
              <w:left w:val="single" w:sz="4" w:space="0" w:color="000000"/>
              <w:bottom w:val="single" w:sz="4" w:space="0" w:color="000000"/>
              <w:right w:val="single" w:sz="4" w:space="0" w:color="000000"/>
            </w:tcBorders>
          </w:tcPr>
          <w:p>
            <w:pPr>
              <w:pStyle w:val="Lentelsturinys"/>
              <w:spacing w:before="0" w:after="200"/>
              <w:rPr>
                <w:rFonts w:ascii="Arial" w:hAnsi="Arial"/>
                <w:sz w:val="20"/>
                <w:szCs w:val="20"/>
              </w:rPr>
            </w:pPr>
            <w:r>
              <w:rPr/>
              <w:drawing>
                <wp:inline distT="0" distB="0" distL="0" distR="0">
                  <wp:extent cx="1477645" cy="1296670"/>
                  <wp:effectExtent l="0" t="0" r="0" b="0"/>
                  <wp:docPr id="127" name="Image14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Image14 Copy 1"/>
                          <pic:cNvPicPr>
                            <a:picLocks noChangeAspect="1" noChangeArrowheads="1"/>
                          </pic:cNvPicPr>
                        </pic:nvPicPr>
                        <pic:blipFill>
                          <a:blip r:embed="rId122"/>
                          <a:stretch>
                            <a:fillRect/>
                          </a:stretch>
                        </pic:blipFill>
                        <pic:spPr bwMode="auto">
                          <a:xfrm>
                            <a:off x="0" y="0"/>
                            <a:ext cx="1477645" cy="1296670"/>
                          </a:xfrm>
                          <a:prstGeom prst="rect">
                            <a:avLst/>
                          </a:prstGeom>
                          <a:noFill/>
                        </pic:spPr>
                      </pic:pic>
                    </a:graphicData>
                  </a:graphic>
                </wp:inline>
              </w:drawing>
            </w:r>
          </w:p>
        </w:tc>
      </w:tr>
      <w:tr>
        <w:trPr/>
        <w:tc>
          <w:tcPr>
            <w:tcW w:w="2258" w:type="dxa"/>
            <w:tcBorders>
              <w:left w:val="single" w:sz="4" w:space="0" w:color="000000"/>
              <w:bottom w:val="single" w:sz="4" w:space="0" w:color="000000"/>
            </w:tcBorders>
          </w:tcPr>
          <w:p>
            <w:pPr>
              <w:pStyle w:val="Normal"/>
              <w:spacing w:before="0" w:after="0"/>
              <w:ind w:hanging="0"/>
              <w:contextualSpacing/>
              <w:rPr>
                <w:rFonts w:ascii="Arial" w:hAnsi="Arial" w:eastAsia="Calibri" w:cs=""/>
                <w:kern w:val="2"/>
                <w:sz w:val="20"/>
                <w:szCs w:val="20"/>
              </w:rPr>
            </w:pPr>
            <w:r>
              <w:rPr>
                <w:rFonts w:eastAsia="Calibri" w:cs="" w:ascii="Arial" w:hAnsi="Arial"/>
                <w:kern w:val="2"/>
                <w:sz w:val="20"/>
                <w:szCs w:val="20"/>
              </w:rPr>
              <w:t>Baltauogė meškytė</w:t>
            </w:r>
          </w:p>
        </w:tc>
        <w:tc>
          <w:tcPr>
            <w:tcW w:w="4545" w:type="dxa"/>
            <w:tcBorders>
              <w:left w:val="single" w:sz="4" w:space="0" w:color="000000"/>
              <w:bottom w:val="single" w:sz="4" w:space="0" w:color="000000"/>
            </w:tcBorders>
          </w:tcPr>
          <w:p>
            <w:pPr>
              <w:pStyle w:val="Normal"/>
              <w:spacing w:before="0" w:after="0"/>
              <w:ind w:hanging="0"/>
              <w:contextualSpacing/>
              <w:rPr>
                <w:rFonts w:ascii="Arial" w:hAnsi="Arial" w:eastAsia="Calibri" w:cs=""/>
                <w:kern w:val="2"/>
                <w:sz w:val="20"/>
                <w:szCs w:val="20"/>
              </w:rPr>
            </w:pPr>
            <w:r>
              <w:rPr>
                <w:rFonts w:eastAsia="Calibri" w:cs="" w:ascii="Arial" w:hAnsi="Arial"/>
                <w:kern w:val="2"/>
                <w:sz w:val="20"/>
                <w:szCs w:val="20"/>
              </w:rPr>
              <w:t>Retai šakotas 2-5 pėdų aukščio krūmas, palaipsniui sudarantis 4-6 pėdų pločio krūmą. Ant plonų, vijoklinių šakelių auga maži, priešiniai lapai ir neryškūs žiedų kekės, o po jų - didelės, sniego baltumo uogos, panašios į vaisius, kurie ilgainiui paruduoja. Šis tuščiaviduris krūmas turi smulkius, rausvai baltus, varpelio formos žiedus mažose galinėse arba pažastinėse kekėse.</w:t>
            </w:r>
          </w:p>
        </w:tc>
        <w:tc>
          <w:tcPr>
            <w:tcW w:w="3402" w:type="dxa"/>
            <w:tcBorders>
              <w:left w:val="single" w:sz="4" w:space="0" w:color="000000"/>
              <w:bottom w:val="single" w:sz="4" w:space="0" w:color="000000"/>
              <w:right w:val="single" w:sz="4" w:space="0" w:color="000000"/>
            </w:tcBorders>
          </w:tcPr>
          <w:p>
            <w:pPr>
              <w:pStyle w:val="Lentelsturinys"/>
              <w:spacing w:before="0" w:after="200"/>
              <w:rPr>
                <w:rFonts w:ascii="Arial" w:hAnsi="Arial"/>
                <w:sz w:val="20"/>
                <w:szCs w:val="20"/>
              </w:rPr>
            </w:pPr>
            <w:r>
              <w:rPr>
                <w:rFonts w:ascii="Arial" w:hAnsi="Arial"/>
                <w:sz w:val="20"/>
                <w:szCs w:val="20"/>
              </w:rPr>
              <w:drawing>
                <wp:anchor behindDoc="0" distT="0" distB="0" distL="114300" distR="114300" simplePos="0" locked="0" layoutInCell="1" allowOverlap="1" relativeHeight="193">
                  <wp:simplePos x="0" y="0"/>
                  <wp:positionH relativeFrom="column">
                    <wp:posOffset>1905</wp:posOffset>
                  </wp:positionH>
                  <wp:positionV relativeFrom="paragraph">
                    <wp:posOffset>312420</wp:posOffset>
                  </wp:positionV>
                  <wp:extent cx="2020570" cy="1515110"/>
                  <wp:effectExtent l="0" t="0" r="0" b="0"/>
                  <wp:wrapTight wrapText="bothSides">
                    <wp:wrapPolygon edited="0">
                      <wp:start x="-13" y="0"/>
                      <wp:lineTo x="-13" y="21366"/>
                      <wp:lineTo x="21506" y="21366"/>
                      <wp:lineTo x="21506" y="0"/>
                      <wp:lineTo x="-13" y="0"/>
                    </wp:wrapPolygon>
                  </wp:wrapTight>
                  <wp:docPr id="128" name="Image15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Image15 Copy 1"/>
                          <pic:cNvPicPr>
                            <a:picLocks noChangeAspect="1" noChangeArrowheads="1"/>
                          </pic:cNvPicPr>
                        </pic:nvPicPr>
                        <pic:blipFill>
                          <a:blip r:embed="rId123"/>
                          <a:stretch>
                            <a:fillRect/>
                          </a:stretch>
                        </pic:blipFill>
                        <pic:spPr bwMode="auto">
                          <a:xfrm>
                            <a:off x="0" y="0"/>
                            <a:ext cx="2020570" cy="1515110"/>
                          </a:xfrm>
                          <a:prstGeom prst="rect">
                            <a:avLst/>
                          </a:prstGeom>
                          <a:noFill/>
                        </pic:spPr>
                      </pic:pic>
                    </a:graphicData>
                  </a:graphic>
                </wp:anchor>
              </w:drawing>
            </w:r>
          </w:p>
        </w:tc>
      </w:tr>
      <w:tr>
        <w:trPr/>
        <w:tc>
          <w:tcPr>
            <w:tcW w:w="2258" w:type="dxa"/>
            <w:tcBorders>
              <w:left w:val="single" w:sz="4" w:space="0" w:color="000000"/>
              <w:bottom w:val="single" w:sz="4" w:space="0" w:color="000000"/>
            </w:tcBorders>
          </w:tcPr>
          <w:p>
            <w:pPr>
              <w:pStyle w:val="Normal"/>
              <w:spacing w:before="0" w:after="0"/>
              <w:ind w:hanging="0"/>
              <w:contextualSpacing/>
              <w:rPr>
                <w:rFonts w:ascii="Arial" w:hAnsi="Arial" w:eastAsia="Calibri" w:cs=""/>
                <w:kern w:val="2"/>
                <w:sz w:val="20"/>
                <w:szCs w:val="20"/>
              </w:rPr>
            </w:pPr>
            <w:r>
              <w:rPr>
                <w:rFonts w:eastAsia="Calibri" w:cs="" w:ascii="Arial" w:hAnsi="Arial"/>
                <w:kern w:val="2"/>
                <w:sz w:val="20"/>
                <w:szCs w:val="20"/>
              </w:rPr>
              <w:t>Gluosnis purpurinis ‘NANA‘</w:t>
            </w:r>
          </w:p>
        </w:tc>
        <w:tc>
          <w:tcPr>
            <w:tcW w:w="4545" w:type="dxa"/>
            <w:tcBorders>
              <w:left w:val="single" w:sz="4" w:space="0" w:color="000000"/>
              <w:bottom w:val="single" w:sz="4" w:space="0" w:color="000000"/>
            </w:tcBorders>
          </w:tcPr>
          <w:p>
            <w:pPr>
              <w:pStyle w:val="Normal"/>
              <w:spacing w:before="0" w:after="0"/>
              <w:ind w:hanging="0"/>
              <w:contextualSpacing/>
              <w:rPr>
                <w:rFonts w:ascii="Arial" w:hAnsi="Arial" w:eastAsia="Calibri" w:cs=""/>
                <w:kern w:val="2"/>
                <w:sz w:val="20"/>
                <w:szCs w:val="20"/>
              </w:rPr>
            </w:pPr>
            <w:r>
              <w:rPr>
                <w:rFonts w:eastAsia="Calibri" w:cs="" w:ascii="Arial" w:hAnsi="Arial"/>
                <w:kern w:val="2"/>
                <w:sz w:val="20"/>
                <w:szCs w:val="20"/>
              </w:rPr>
              <w:t>Kompaktiškas lapuočių krūmas, kuris gali siekti iki 1,5-2 m aukščio. Tamsiai violetiniai stiebai gražiai kontrastuoja su augalo melsvai žalsva lapija, kuri rudenį nusispalvina geltonai, o gausybė ryškių šakų subtiliai atrodo žiemos peizaže. Jauni ūgliai su šviesiai pūkuotais plaukais, kurie laikui bėgant išnyksta. Ant stiebų gražiai plazda siauri, ilgi lapai.</w:t>
            </w:r>
          </w:p>
        </w:tc>
        <w:tc>
          <w:tcPr>
            <w:tcW w:w="3402" w:type="dxa"/>
            <w:tcBorders>
              <w:left w:val="single" w:sz="4" w:space="0" w:color="000000"/>
              <w:bottom w:val="single" w:sz="4" w:space="0" w:color="000000"/>
              <w:right w:val="single" w:sz="4" w:space="0" w:color="000000"/>
            </w:tcBorders>
          </w:tcPr>
          <w:p>
            <w:pPr>
              <w:pStyle w:val="Lentelsturinys"/>
              <w:spacing w:before="0" w:after="200"/>
              <w:rPr>
                <w:rFonts w:ascii="Arial" w:hAnsi="Arial"/>
                <w:sz w:val="20"/>
                <w:szCs w:val="20"/>
              </w:rPr>
            </w:pPr>
            <w:r>
              <w:rPr/>
              <w:drawing>
                <wp:inline distT="0" distB="0" distL="0" distR="0">
                  <wp:extent cx="1753235" cy="1702435"/>
                  <wp:effectExtent l="0" t="0" r="0" b="0"/>
                  <wp:docPr id="129" name="Image16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Image16 Copy 1"/>
                          <pic:cNvPicPr>
                            <a:picLocks noChangeAspect="1" noChangeArrowheads="1"/>
                          </pic:cNvPicPr>
                        </pic:nvPicPr>
                        <pic:blipFill>
                          <a:blip r:embed="rId124"/>
                          <a:stretch>
                            <a:fillRect/>
                          </a:stretch>
                        </pic:blipFill>
                        <pic:spPr bwMode="auto">
                          <a:xfrm>
                            <a:off x="0" y="0"/>
                            <a:ext cx="1753235" cy="1702435"/>
                          </a:xfrm>
                          <a:prstGeom prst="rect">
                            <a:avLst/>
                          </a:prstGeom>
                          <a:noFill/>
                        </pic:spPr>
                      </pic:pic>
                    </a:graphicData>
                  </a:graphic>
                </wp:inline>
              </w:drawing>
            </w:r>
          </w:p>
        </w:tc>
      </w:tr>
      <w:tr>
        <w:trPr/>
        <w:tc>
          <w:tcPr>
            <w:tcW w:w="2258" w:type="dxa"/>
            <w:tcBorders>
              <w:left w:val="single" w:sz="4" w:space="0" w:color="000000"/>
              <w:bottom w:val="single" w:sz="4" w:space="0" w:color="000000"/>
            </w:tcBorders>
          </w:tcPr>
          <w:p>
            <w:pPr>
              <w:pStyle w:val="Normal"/>
              <w:spacing w:before="0" w:after="0"/>
              <w:ind w:hanging="0"/>
              <w:contextualSpacing/>
              <w:rPr>
                <w:rFonts w:ascii="Arial" w:hAnsi="Arial" w:eastAsia="Calibri" w:cs=""/>
                <w:kern w:val="2"/>
                <w:sz w:val="20"/>
                <w:szCs w:val="20"/>
              </w:rPr>
            </w:pPr>
            <w:r>
              <w:rPr>
                <w:rFonts w:eastAsia="Calibri" w:cs="" w:ascii="Arial" w:hAnsi="Arial"/>
                <w:kern w:val="2"/>
                <w:sz w:val="20"/>
                <w:szCs w:val="20"/>
              </w:rPr>
              <w:t>Tankiadyglis erškėtis (pilnavidurė forma)</w:t>
            </w:r>
          </w:p>
        </w:tc>
        <w:tc>
          <w:tcPr>
            <w:tcW w:w="4545" w:type="dxa"/>
            <w:tcBorders>
              <w:left w:val="single" w:sz="4" w:space="0" w:color="000000"/>
              <w:bottom w:val="single" w:sz="4" w:space="0" w:color="000000"/>
            </w:tcBorders>
          </w:tcPr>
          <w:p>
            <w:pPr>
              <w:pStyle w:val="Normal"/>
              <w:spacing w:before="0" w:after="0"/>
              <w:ind w:hanging="0"/>
              <w:contextualSpacing/>
              <w:rPr>
                <w:rFonts w:ascii="Arial" w:hAnsi="Arial" w:eastAsia="Calibri" w:cs=""/>
                <w:kern w:val="2"/>
                <w:sz w:val="20"/>
                <w:szCs w:val="20"/>
              </w:rPr>
            </w:pPr>
            <w:r>
              <w:rPr>
                <w:rFonts w:eastAsia="Calibri" w:cs="" w:ascii="Arial" w:hAnsi="Arial"/>
                <w:kern w:val="2"/>
                <w:sz w:val="20"/>
                <w:szCs w:val="20"/>
              </w:rPr>
              <w:t>Ypač nereikli ir atspari veislė. Žydi anksti, kelias savaites vasaros pradžioje, labai kvapni. Rugpjūčio gale sunokina rudai juodus vaisius. Sodinukai savašakniai.</w:t>
            </w:r>
          </w:p>
        </w:tc>
        <w:tc>
          <w:tcPr>
            <w:tcW w:w="3402" w:type="dxa"/>
            <w:tcBorders>
              <w:left w:val="single" w:sz="4" w:space="0" w:color="000000"/>
              <w:bottom w:val="single" w:sz="4" w:space="0" w:color="000000"/>
              <w:right w:val="single" w:sz="4" w:space="0" w:color="000000"/>
            </w:tcBorders>
          </w:tcPr>
          <w:p>
            <w:pPr>
              <w:pStyle w:val="Lentelsturinys"/>
              <w:spacing w:before="0" w:after="200"/>
              <w:rPr>
                <w:rFonts w:ascii="Arial" w:hAnsi="Arial"/>
                <w:sz w:val="20"/>
                <w:szCs w:val="20"/>
              </w:rPr>
            </w:pPr>
            <w:r>
              <w:rPr/>
              <w:drawing>
                <wp:inline distT="0" distB="0" distL="0" distR="0">
                  <wp:extent cx="1668780" cy="962660"/>
                  <wp:effectExtent l="0" t="0" r="0" b="0"/>
                  <wp:docPr id="130" name="Image17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17 Copy 1"/>
                          <pic:cNvPicPr>
                            <a:picLocks noChangeAspect="1" noChangeArrowheads="1"/>
                          </pic:cNvPicPr>
                        </pic:nvPicPr>
                        <pic:blipFill>
                          <a:blip r:embed="rId125"/>
                          <a:stretch>
                            <a:fillRect/>
                          </a:stretch>
                        </pic:blipFill>
                        <pic:spPr bwMode="auto">
                          <a:xfrm>
                            <a:off x="0" y="0"/>
                            <a:ext cx="1668780" cy="962660"/>
                          </a:xfrm>
                          <a:prstGeom prst="rect">
                            <a:avLst/>
                          </a:prstGeom>
                          <a:noFill/>
                        </pic:spPr>
                      </pic:pic>
                    </a:graphicData>
                  </a:graphic>
                </wp:inline>
              </w:drawing>
            </w:r>
          </w:p>
        </w:tc>
      </w:tr>
      <w:tr>
        <w:trPr/>
        <w:tc>
          <w:tcPr>
            <w:tcW w:w="2258" w:type="dxa"/>
            <w:tcBorders>
              <w:left w:val="single" w:sz="4" w:space="0" w:color="000000"/>
              <w:bottom w:val="single" w:sz="4" w:space="0" w:color="000000"/>
            </w:tcBorders>
          </w:tcPr>
          <w:p>
            <w:pPr>
              <w:pStyle w:val="Normal"/>
              <w:spacing w:before="0" w:after="0"/>
              <w:ind w:hanging="0"/>
              <w:contextualSpacing/>
              <w:rPr>
                <w:rFonts w:ascii="Arial" w:hAnsi="Arial" w:eastAsia="Calibri" w:cs=""/>
                <w:kern w:val="2"/>
                <w:sz w:val="20"/>
                <w:szCs w:val="20"/>
              </w:rPr>
            </w:pPr>
            <w:r>
              <w:rPr>
                <w:rFonts w:eastAsia="Calibri" w:cs="" w:ascii="Arial" w:hAnsi="Arial"/>
                <w:kern w:val="2"/>
                <w:sz w:val="20"/>
                <w:szCs w:val="20"/>
              </w:rPr>
              <w:t>Širdžialapė tiarelė</w:t>
            </w:r>
          </w:p>
        </w:tc>
        <w:tc>
          <w:tcPr>
            <w:tcW w:w="4545" w:type="dxa"/>
            <w:tcBorders>
              <w:left w:val="single" w:sz="4" w:space="0" w:color="000000"/>
              <w:bottom w:val="single" w:sz="4" w:space="0" w:color="000000"/>
            </w:tcBorders>
          </w:tcPr>
          <w:p>
            <w:pPr>
              <w:pStyle w:val="Normal"/>
              <w:widowControl/>
              <w:spacing w:before="0" w:after="0"/>
              <w:ind w:hanging="0"/>
              <w:contextualSpacing/>
              <w:rPr/>
            </w:pPr>
            <w:r>
              <w:rPr>
                <w:rFonts w:eastAsia="Calibri" w:cs="" w:ascii="Arial" w:hAnsi="Arial"/>
                <w:color w:val="auto"/>
                <w:kern w:val="2"/>
                <w:sz w:val="20"/>
                <w:szCs w:val="20"/>
                <w:lang w:val="lt-LT" w:eastAsia="en-US" w:bidi="ar-SA"/>
              </w:rPr>
              <w:t>Nedidelė gėlė pavėsio gėlynams. Lapai žali. Žydi gausiai, smulkiais baltais žiedais, susitelkusiais stačiuose žiedynuose. Žydi gegužę-birželį. Užauga 40 cm pločio, 15 cm</w:t>
            </w:r>
            <w:r>
              <w:rPr>
                <w:rFonts w:eastAsia="Calibri" w:cs=""/>
                <w:kern w:val="2"/>
                <w:szCs w:val="22"/>
                <w:lang w:val="lt-LT" w:eastAsia="en-US" w:bidi="ar-SA"/>
              </w:rPr>
              <w:t xml:space="preserve"> aukščio, su žiedais </w:t>
            </w:r>
            <w:r>
              <w:rPr>
                <w:rFonts w:eastAsia="Calibri" w:cs="" w:ascii="Arial" w:hAnsi="Arial"/>
                <w:color w:val="auto"/>
                <w:kern w:val="2"/>
                <w:sz w:val="20"/>
                <w:szCs w:val="20"/>
                <w:lang w:val="lt-LT" w:eastAsia="en-US" w:bidi="ar-SA"/>
              </w:rPr>
              <w:t>– 25 cm aukščio. Puikiai tinka natūralistiniams pavėsio gėlynams.</w:t>
            </w:r>
          </w:p>
        </w:tc>
        <w:tc>
          <w:tcPr>
            <w:tcW w:w="3402" w:type="dxa"/>
            <w:tcBorders>
              <w:left w:val="single" w:sz="4" w:space="0" w:color="000000"/>
              <w:bottom w:val="single" w:sz="4" w:space="0" w:color="000000"/>
              <w:right w:val="single" w:sz="4" w:space="0" w:color="000000"/>
            </w:tcBorders>
          </w:tcPr>
          <w:p>
            <w:pPr>
              <w:pStyle w:val="Lentelsturinys"/>
              <w:spacing w:before="0" w:after="200"/>
              <w:rPr>
                <w:rFonts w:ascii="Arial" w:hAnsi="Arial"/>
                <w:sz w:val="20"/>
                <w:szCs w:val="20"/>
              </w:rPr>
            </w:pPr>
            <w:r>
              <w:rPr/>
              <w:drawing>
                <wp:inline distT="0" distB="0" distL="0" distR="0">
                  <wp:extent cx="1450340" cy="1450340"/>
                  <wp:effectExtent l="0" t="0" r="0" b="0"/>
                  <wp:docPr id="131" name="Picture 4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4 Copy 1"/>
                          <pic:cNvPicPr>
                            <a:picLocks noChangeAspect="1" noChangeArrowheads="1"/>
                          </pic:cNvPicPr>
                        </pic:nvPicPr>
                        <pic:blipFill>
                          <a:blip r:embed="rId126"/>
                          <a:stretch>
                            <a:fillRect/>
                          </a:stretch>
                        </pic:blipFill>
                        <pic:spPr bwMode="auto">
                          <a:xfrm>
                            <a:off x="0" y="0"/>
                            <a:ext cx="1450340" cy="1450340"/>
                          </a:xfrm>
                          <a:prstGeom prst="rect">
                            <a:avLst/>
                          </a:prstGeom>
                          <a:noFill/>
                        </pic:spPr>
                      </pic:pic>
                    </a:graphicData>
                  </a:graphic>
                </wp:inline>
              </w:drawing>
            </w:r>
          </w:p>
        </w:tc>
      </w:tr>
      <w:tr>
        <w:trPr/>
        <w:tc>
          <w:tcPr>
            <w:tcW w:w="2258" w:type="dxa"/>
            <w:tcBorders>
              <w:left w:val="single" w:sz="4" w:space="0" w:color="000000"/>
              <w:bottom w:val="single" w:sz="4" w:space="0" w:color="000000"/>
            </w:tcBorders>
          </w:tcPr>
          <w:p>
            <w:pPr>
              <w:pStyle w:val="Normal"/>
              <w:spacing w:before="0" w:after="0"/>
              <w:ind w:hanging="0"/>
              <w:contextualSpacing/>
              <w:rPr>
                <w:rFonts w:ascii="Arial" w:hAnsi="Arial" w:eastAsia="Calibri" w:cs=""/>
                <w:kern w:val="2"/>
                <w:sz w:val="20"/>
                <w:szCs w:val="20"/>
              </w:rPr>
            </w:pPr>
            <w:r>
              <w:rPr>
                <w:rFonts w:eastAsia="Calibri" w:cs="" w:ascii="Arial" w:hAnsi="Arial"/>
                <w:kern w:val="2"/>
                <w:sz w:val="20"/>
                <w:szCs w:val="20"/>
              </w:rPr>
              <w:t>Snaputis ‘Apfelblute’</w:t>
            </w:r>
          </w:p>
        </w:tc>
        <w:tc>
          <w:tcPr>
            <w:tcW w:w="4545" w:type="dxa"/>
            <w:tcBorders>
              <w:left w:val="single" w:sz="4" w:space="0" w:color="000000"/>
              <w:bottom w:val="single" w:sz="4" w:space="0" w:color="000000"/>
            </w:tcBorders>
          </w:tcPr>
          <w:p>
            <w:pPr>
              <w:pStyle w:val="Normal"/>
              <w:spacing w:before="0" w:after="0"/>
              <w:ind w:hanging="0"/>
              <w:contextualSpacing/>
              <w:rPr>
                <w:rFonts w:ascii="Arial" w:hAnsi="Arial" w:eastAsia="Calibri" w:cs=""/>
                <w:kern w:val="2"/>
                <w:sz w:val="20"/>
                <w:szCs w:val="20"/>
              </w:rPr>
            </w:pPr>
            <w:r>
              <w:rPr>
                <w:rFonts w:eastAsia="Calibri" w:cs="" w:ascii="Arial" w:hAnsi="Arial"/>
                <w:kern w:val="2"/>
                <w:sz w:val="20"/>
                <w:szCs w:val="20"/>
              </w:rPr>
              <w:t>Snaputis, suformuojantis tankų kupstą, kurį puošia dailūs ryškiai rožiniai žiedai. Žali karpytos formos lapai vasaros pabaigoje įgauna raudonų atspalvių, taip dar suteikdami augalui dekoratyvumo.   Patartina nužydėjusius žiedus nukirpti. Mėgsta derlingą, vidutiniškai drėgną, vandeniui laidų dirvožemį, nors iškenčia ir trumpalaikį drėgmės trūkumą.</w:t>
            </w:r>
          </w:p>
        </w:tc>
        <w:tc>
          <w:tcPr>
            <w:tcW w:w="3402" w:type="dxa"/>
            <w:tcBorders>
              <w:left w:val="single" w:sz="4" w:space="0" w:color="000000"/>
              <w:bottom w:val="single" w:sz="4" w:space="0" w:color="000000"/>
              <w:right w:val="single" w:sz="4" w:space="0" w:color="000000"/>
            </w:tcBorders>
          </w:tcPr>
          <w:p>
            <w:pPr>
              <w:pStyle w:val="Lentelsturinys"/>
              <w:spacing w:before="0" w:after="200"/>
              <w:rPr>
                <w:rFonts w:ascii="Arial" w:hAnsi="Arial"/>
                <w:sz w:val="20"/>
                <w:szCs w:val="20"/>
              </w:rPr>
            </w:pPr>
            <w:r>
              <w:rPr/>
              <w:drawing>
                <wp:inline distT="0" distB="0" distL="0" distR="0">
                  <wp:extent cx="1167130" cy="1555750"/>
                  <wp:effectExtent l="0" t="0" r="0" b="0"/>
                  <wp:docPr id="132" name="Image18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18 Copy 1"/>
                          <pic:cNvPicPr>
                            <a:picLocks noChangeAspect="1" noChangeArrowheads="1"/>
                          </pic:cNvPicPr>
                        </pic:nvPicPr>
                        <pic:blipFill>
                          <a:blip r:embed="rId127"/>
                          <a:stretch>
                            <a:fillRect/>
                          </a:stretch>
                        </pic:blipFill>
                        <pic:spPr bwMode="auto">
                          <a:xfrm>
                            <a:off x="0" y="0"/>
                            <a:ext cx="1167130" cy="1555750"/>
                          </a:xfrm>
                          <a:prstGeom prst="rect">
                            <a:avLst/>
                          </a:prstGeom>
                          <a:noFill/>
                        </pic:spPr>
                      </pic:pic>
                    </a:graphicData>
                  </a:graphic>
                </wp:inline>
              </w:drawing>
            </w:r>
          </w:p>
        </w:tc>
      </w:tr>
      <w:tr>
        <w:trPr/>
        <w:tc>
          <w:tcPr>
            <w:tcW w:w="2258" w:type="dxa"/>
            <w:tcBorders>
              <w:left w:val="single" w:sz="4" w:space="0" w:color="000000"/>
              <w:bottom w:val="single" w:sz="4" w:space="0" w:color="000000"/>
            </w:tcBorders>
          </w:tcPr>
          <w:p>
            <w:pPr>
              <w:pStyle w:val="Normal"/>
              <w:spacing w:before="0" w:after="0"/>
              <w:ind w:hanging="0"/>
              <w:contextualSpacing/>
              <w:rPr>
                <w:rFonts w:ascii="Arial" w:hAnsi="Arial" w:eastAsia="Calibri" w:cs=""/>
                <w:kern w:val="2"/>
                <w:sz w:val="20"/>
                <w:szCs w:val="20"/>
              </w:rPr>
            </w:pPr>
            <w:r>
              <w:rPr>
                <w:rFonts w:eastAsia="Calibri" w:cs="" w:ascii="Arial" w:hAnsi="Arial"/>
                <w:kern w:val="2"/>
                <w:sz w:val="20"/>
                <w:szCs w:val="20"/>
              </w:rPr>
              <w:t>Žvilgioji viksva ‘IrIsh Green‘</w:t>
            </w:r>
          </w:p>
        </w:tc>
        <w:tc>
          <w:tcPr>
            <w:tcW w:w="4545" w:type="dxa"/>
            <w:tcBorders>
              <w:left w:val="single" w:sz="4" w:space="0" w:color="000000"/>
              <w:bottom w:val="single" w:sz="4" w:space="0" w:color="000000"/>
            </w:tcBorders>
          </w:tcPr>
          <w:p>
            <w:pPr>
              <w:pStyle w:val="Normal"/>
              <w:spacing w:before="0" w:after="0"/>
              <w:ind w:hanging="0"/>
              <w:contextualSpacing/>
              <w:rPr>
                <w:rFonts w:ascii="Arial" w:hAnsi="Arial" w:eastAsia="Calibri" w:cs=""/>
                <w:kern w:val="2"/>
                <w:sz w:val="20"/>
                <w:szCs w:val="20"/>
              </w:rPr>
            </w:pPr>
            <w:r>
              <w:rPr>
                <w:rFonts w:eastAsia="Calibri" w:cs="" w:ascii="Arial" w:hAnsi="Arial"/>
                <w:kern w:val="2"/>
                <w:sz w:val="20"/>
                <w:szCs w:val="20"/>
              </w:rPr>
              <w:t>Tai žeme besidriekianti kiliminė viksva. Lapelia tvirti, blizgūs, visžaliai išlieka visus metus. Tai puikus augalas žemės paviršiaus uždengimui, nes nepraleidžia piktžolių</w:t>
            </w:r>
          </w:p>
        </w:tc>
        <w:tc>
          <w:tcPr>
            <w:tcW w:w="3402" w:type="dxa"/>
            <w:tcBorders>
              <w:left w:val="single" w:sz="4" w:space="0" w:color="000000"/>
              <w:bottom w:val="single" w:sz="4" w:space="0" w:color="000000"/>
              <w:right w:val="single" w:sz="4" w:space="0" w:color="000000"/>
            </w:tcBorders>
          </w:tcPr>
          <w:p>
            <w:pPr>
              <w:pStyle w:val="Lentelsturinys"/>
              <w:spacing w:before="0" w:after="200"/>
              <w:rPr>
                <w:rFonts w:ascii="Arial" w:hAnsi="Arial"/>
                <w:sz w:val="20"/>
                <w:szCs w:val="20"/>
              </w:rPr>
            </w:pPr>
            <w:r>
              <w:rPr/>
              <w:drawing>
                <wp:inline distT="0" distB="0" distL="0" distR="0">
                  <wp:extent cx="1533525" cy="1012190"/>
                  <wp:effectExtent l="0" t="0" r="0" b="0"/>
                  <wp:docPr id="13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icture 14"/>
                          <pic:cNvPicPr>
                            <a:picLocks noChangeAspect="1" noChangeArrowheads="1"/>
                          </pic:cNvPicPr>
                        </pic:nvPicPr>
                        <pic:blipFill>
                          <a:blip r:embed="rId128"/>
                          <a:stretch>
                            <a:fillRect/>
                          </a:stretch>
                        </pic:blipFill>
                        <pic:spPr bwMode="auto">
                          <a:xfrm>
                            <a:off x="0" y="0"/>
                            <a:ext cx="1533525" cy="1012190"/>
                          </a:xfrm>
                          <a:prstGeom prst="rect">
                            <a:avLst/>
                          </a:prstGeom>
                          <a:noFill/>
                        </pic:spPr>
                      </pic:pic>
                    </a:graphicData>
                  </a:graphic>
                </wp:inline>
              </w:drawing>
            </w:r>
          </w:p>
        </w:tc>
      </w:tr>
      <w:tr>
        <w:trPr/>
        <w:tc>
          <w:tcPr>
            <w:tcW w:w="2258" w:type="dxa"/>
            <w:tcBorders>
              <w:left w:val="single" w:sz="4" w:space="0" w:color="000000"/>
              <w:bottom w:val="single" w:sz="4" w:space="0" w:color="000000"/>
            </w:tcBorders>
          </w:tcPr>
          <w:p>
            <w:pPr>
              <w:pStyle w:val="Normal"/>
              <w:spacing w:before="0" w:after="0"/>
              <w:ind w:hanging="0"/>
              <w:contextualSpacing/>
              <w:rPr>
                <w:rFonts w:ascii="Arial" w:hAnsi="Arial" w:eastAsia="Calibri" w:cs=""/>
                <w:kern w:val="2"/>
                <w:sz w:val="20"/>
                <w:szCs w:val="20"/>
              </w:rPr>
            </w:pPr>
            <w:r>
              <w:rPr>
                <w:rFonts w:eastAsia="Calibri" w:cs="" w:ascii="Arial" w:hAnsi="Arial"/>
                <w:kern w:val="2"/>
                <w:sz w:val="20"/>
                <w:szCs w:val="20"/>
              </w:rPr>
              <w:t>Mėlitas</w:t>
            </w:r>
          </w:p>
        </w:tc>
        <w:tc>
          <w:tcPr>
            <w:tcW w:w="4545" w:type="dxa"/>
            <w:tcBorders>
              <w:left w:val="single" w:sz="4" w:space="0" w:color="000000"/>
              <w:bottom w:val="single" w:sz="4" w:space="0" w:color="000000"/>
            </w:tcBorders>
          </w:tcPr>
          <w:p>
            <w:pPr>
              <w:pStyle w:val="Normal"/>
              <w:spacing w:before="0" w:after="0"/>
              <w:ind w:hanging="0"/>
              <w:contextualSpacing/>
              <w:rPr>
                <w:rFonts w:ascii="Arial" w:hAnsi="Arial" w:eastAsia="Calibri" w:cs=""/>
                <w:kern w:val="2"/>
                <w:sz w:val="20"/>
                <w:szCs w:val="20"/>
              </w:rPr>
            </w:pPr>
            <w:r>
              <w:rPr>
                <w:rFonts w:eastAsia="Calibri" w:cs="" w:ascii="Arial" w:hAnsi="Arial"/>
                <w:kern w:val="2"/>
                <w:sz w:val="20"/>
                <w:szCs w:val="20"/>
              </w:rPr>
              <w:t>Užauga apie 50 cm aukščio (žydint 80 cm) ir 70  cm pločio. Auga tvarkingais, tankiais kupstais. Lapai kieti, melsvi, smailoki, pusiau visžaliai. Žydi anksti – gegužės mėnesį, ovaliomis šluotelėmis. Nemėgsta užmirkimo. Ilgaamžis, nereiklus ir plačiai pritaikomas augalas. Puikiai tinka gėlynų tarpams užpildyti, pakraščiams, alpinariumams, kompozicijoms su spygliuočiais ir t.t.</w:t>
            </w:r>
          </w:p>
        </w:tc>
        <w:tc>
          <w:tcPr>
            <w:tcW w:w="3402" w:type="dxa"/>
            <w:tcBorders>
              <w:left w:val="single" w:sz="4" w:space="0" w:color="000000"/>
              <w:bottom w:val="single" w:sz="4" w:space="0" w:color="000000"/>
              <w:right w:val="single" w:sz="4" w:space="0" w:color="000000"/>
            </w:tcBorders>
          </w:tcPr>
          <w:p>
            <w:pPr>
              <w:pStyle w:val="Lentelsturinys"/>
              <w:spacing w:before="0" w:after="200"/>
              <w:rPr>
                <w:rFonts w:ascii="Arial" w:hAnsi="Arial"/>
                <w:sz w:val="20"/>
                <w:szCs w:val="20"/>
              </w:rPr>
            </w:pPr>
            <w:r>
              <w:rPr>
                <w:rFonts w:ascii="Arial" w:hAnsi="Arial"/>
                <w:sz w:val="20"/>
                <w:szCs w:val="20"/>
              </w:rPr>
              <w:drawing>
                <wp:anchor behindDoc="0" distT="0" distB="0" distL="114300" distR="114300" simplePos="0" locked="0" layoutInCell="1" allowOverlap="1" relativeHeight="194">
                  <wp:simplePos x="0" y="0"/>
                  <wp:positionH relativeFrom="column">
                    <wp:posOffset>74295</wp:posOffset>
                  </wp:positionH>
                  <wp:positionV relativeFrom="paragraph">
                    <wp:posOffset>67310</wp:posOffset>
                  </wp:positionV>
                  <wp:extent cx="1573530" cy="1182370"/>
                  <wp:effectExtent l="0" t="0" r="0" b="0"/>
                  <wp:wrapTight wrapText="bothSides">
                    <wp:wrapPolygon edited="0">
                      <wp:start x="-10" y="0"/>
                      <wp:lineTo x="-10" y="21470"/>
                      <wp:lineTo x="21459" y="21470"/>
                      <wp:lineTo x="21459" y="0"/>
                      <wp:lineTo x="-10" y="0"/>
                    </wp:wrapPolygon>
                  </wp:wrapTight>
                  <wp:docPr id="13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icture 6"/>
                          <pic:cNvPicPr>
                            <a:picLocks noChangeAspect="1" noChangeArrowheads="1"/>
                          </pic:cNvPicPr>
                        </pic:nvPicPr>
                        <pic:blipFill>
                          <a:blip r:embed="rId129"/>
                          <a:stretch>
                            <a:fillRect/>
                          </a:stretch>
                        </pic:blipFill>
                        <pic:spPr bwMode="auto">
                          <a:xfrm>
                            <a:off x="0" y="0"/>
                            <a:ext cx="1573530" cy="1182370"/>
                          </a:xfrm>
                          <a:prstGeom prst="rect">
                            <a:avLst/>
                          </a:prstGeom>
                          <a:noFill/>
                        </pic:spPr>
                      </pic:pic>
                    </a:graphicData>
                  </a:graphic>
                </wp:anchor>
              </w:drawing>
            </w:r>
          </w:p>
        </w:tc>
      </w:tr>
      <w:tr>
        <w:trPr/>
        <w:tc>
          <w:tcPr>
            <w:tcW w:w="2258" w:type="dxa"/>
            <w:tcBorders>
              <w:left w:val="single" w:sz="4" w:space="0" w:color="000000"/>
              <w:bottom w:val="single" w:sz="4" w:space="0" w:color="000000"/>
            </w:tcBorders>
          </w:tcPr>
          <w:p>
            <w:pPr>
              <w:pStyle w:val="Normal"/>
              <w:spacing w:before="0" w:after="0"/>
              <w:ind w:hanging="0"/>
              <w:contextualSpacing/>
              <w:rPr>
                <w:rFonts w:ascii="Arial" w:hAnsi="Arial" w:eastAsia="Calibri" w:cs=""/>
                <w:kern w:val="2"/>
                <w:sz w:val="20"/>
                <w:szCs w:val="20"/>
              </w:rPr>
            </w:pPr>
            <w:r>
              <w:rPr>
                <w:rFonts w:eastAsia="Calibri" w:cs="" w:ascii="Arial" w:hAnsi="Arial"/>
                <w:kern w:val="2"/>
                <w:sz w:val="20"/>
                <w:szCs w:val="20"/>
              </w:rPr>
              <w:t>MEDLIEVA LAMARKO</w:t>
            </w:r>
          </w:p>
        </w:tc>
        <w:tc>
          <w:tcPr>
            <w:tcW w:w="4545" w:type="dxa"/>
            <w:tcBorders>
              <w:left w:val="single" w:sz="4" w:space="0" w:color="000000"/>
              <w:bottom w:val="single" w:sz="4" w:space="0" w:color="000000"/>
            </w:tcBorders>
          </w:tcPr>
          <w:p>
            <w:pPr>
              <w:pStyle w:val="Normal"/>
              <w:spacing w:before="0" w:after="0"/>
              <w:ind w:hanging="0"/>
              <w:contextualSpacing/>
              <w:jc w:val="both"/>
              <w:rPr>
                <w:rFonts w:ascii="Arial" w:hAnsi="Arial" w:eastAsia="Calibri" w:cs=""/>
                <w:kern w:val="2"/>
                <w:sz w:val="20"/>
                <w:szCs w:val="20"/>
              </w:rPr>
            </w:pPr>
            <w:r>
              <w:rPr>
                <w:rFonts w:eastAsia="Calibri" w:cs="" w:ascii="Arial" w:hAnsi="Arial"/>
                <w:kern w:val="2"/>
                <w:sz w:val="20"/>
                <w:szCs w:val="20"/>
              </w:rPr>
              <w:t>Lapuočių medis, kuris žavi tiek savo žiedais, tiek rudenine lapų spalva gama. Pavasarį šis augalas apsipila gausiai baltais žiedais, kurie yra ne tik gražūs, bet ir maloniai kvepiantys. Vasara atneša saldžias, tamsiai raudonas uogas, kurios yra vertinamos dėl savo skonio ir maistinių savybių. Rudenį medlievos lapai nusidažo ryškiai geltonais, oranžiniais ir raudonais atspalviais, suteikdami lauko erdvei ypatingo žavesio.</w:t>
            </w:r>
          </w:p>
        </w:tc>
        <w:tc>
          <w:tcPr>
            <w:tcW w:w="3402" w:type="dxa"/>
            <w:tcBorders>
              <w:left w:val="single" w:sz="4" w:space="0" w:color="000000"/>
              <w:bottom w:val="single" w:sz="4" w:space="0" w:color="000000"/>
              <w:right w:val="single" w:sz="4" w:space="0" w:color="000000"/>
            </w:tcBorders>
          </w:tcPr>
          <w:p>
            <w:pPr>
              <w:pStyle w:val="Lentelsturinys"/>
              <w:spacing w:before="0" w:after="200"/>
              <w:rPr>
                <w:rFonts w:ascii="Arial" w:hAnsi="Arial"/>
                <w:sz w:val="20"/>
                <w:szCs w:val="20"/>
              </w:rPr>
            </w:pPr>
            <w:r>
              <w:rPr>
                <w:rFonts w:ascii="Arial" w:hAnsi="Arial"/>
                <w:sz w:val="20"/>
                <w:szCs w:val="20"/>
              </w:rPr>
              <w:drawing>
                <wp:anchor behindDoc="0" distT="0" distB="0" distL="114300" distR="114300" simplePos="0" locked="0" layoutInCell="1" allowOverlap="1" relativeHeight="195">
                  <wp:simplePos x="0" y="0"/>
                  <wp:positionH relativeFrom="column">
                    <wp:posOffset>123825</wp:posOffset>
                  </wp:positionH>
                  <wp:positionV relativeFrom="paragraph">
                    <wp:posOffset>88900</wp:posOffset>
                  </wp:positionV>
                  <wp:extent cx="1496695" cy="1499870"/>
                  <wp:effectExtent l="0" t="0" r="0" b="0"/>
                  <wp:wrapTight wrapText="bothSides">
                    <wp:wrapPolygon edited="0">
                      <wp:start x="-10" y="0"/>
                      <wp:lineTo x="-10" y="21405"/>
                      <wp:lineTo x="21448" y="21405"/>
                      <wp:lineTo x="21448" y="0"/>
                      <wp:lineTo x="-10" y="0"/>
                    </wp:wrapPolygon>
                  </wp:wrapTight>
                  <wp:docPr id="135" name="Image19 Copy 1" descr="MEDLIEVA LAMARKO (DAUGIAKAMIENĖ) C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Image19 Copy 1" descr="MEDLIEVA LAMARKO (DAUGIAKAMIENĖ) C15"/>
                          <pic:cNvPicPr>
                            <a:picLocks noChangeAspect="1" noChangeArrowheads="1"/>
                          </pic:cNvPicPr>
                        </pic:nvPicPr>
                        <pic:blipFill>
                          <a:blip r:embed="rId130"/>
                          <a:stretch>
                            <a:fillRect/>
                          </a:stretch>
                        </pic:blipFill>
                        <pic:spPr bwMode="auto">
                          <a:xfrm>
                            <a:off x="0" y="0"/>
                            <a:ext cx="1496695" cy="1499870"/>
                          </a:xfrm>
                          <a:prstGeom prst="rect">
                            <a:avLst/>
                          </a:prstGeom>
                          <a:noFill/>
                        </pic:spPr>
                      </pic:pic>
                    </a:graphicData>
                  </a:graphic>
                </wp:anchor>
              </w:drawing>
            </w:r>
          </w:p>
        </w:tc>
      </w:tr>
      <w:tr>
        <w:trPr/>
        <w:tc>
          <w:tcPr>
            <w:tcW w:w="2258" w:type="dxa"/>
            <w:tcBorders>
              <w:left w:val="single" w:sz="4" w:space="0" w:color="000000"/>
              <w:bottom w:val="single" w:sz="4" w:space="0" w:color="000000"/>
            </w:tcBorders>
          </w:tcPr>
          <w:p>
            <w:pPr>
              <w:pStyle w:val="Normal"/>
              <w:spacing w:before="0" w:after="0"/>
              <w:ind w:hanging="0"/>
              <w:contextualSpacing/>
              <w:rPr>
                <w:rFonts w:ascii="Arial" w:hAnsi="Arial" w:eastAsia="Calibri" w:cs=""/>
                <w:kern w:val="2"/>
                <w:sz w:val="20"/>
                <w:szCs w:val="20"/>
              </w:rPr>
            </w:pPr>
            <w:r>
              <w:rPr>
                <w:rFonts w:eastAsia="Calibri" w:cs="" w:ascii="Arial" w:hAnsi="Arial"/>
                <w:kern w:val="2"/>
                <w:sz w:val="20"/>
                <w:szCs w:val="20"/>
              </w:rPr>
              <w:t>Šermukšnis japoninis 'DODONG'</w:t>
            </w:r>
          </w:p>
        </w:tc>
        <w:tc>
          <w:tcPr>
            <w:tcW w:w="4545" w:type="dxa"/>
            <w:tcBorders>
              <w:left w:val="single" w:sz="4" w:space="0" w:color="000000"/>
              <w:bottom w:val="single" w:sz="4" w:space="0" w:color="000000"/>
            </w:tcBorders>
          </w:tcPr>
          <w:p>
            <w:pPr>
              <w:pStyle w:val="Normal"/>
              <w:spacing w:before="0" w:after="0"/>
              <w:ind w:hanging="0"/>
              <w:contextualSpacing/>
              <w:jc w:val="both"/>
              <w:rPr>
                <w:rFonts w:ascii="Arial" w:hAnsi="Arial" w:eastAsia="Calibri" w:cs=""/>
                <w:kern w:val="2"/>
                <w:sz w:val="20"/>
                <w:szCs w:val="20"/>
              </w:rPr>
            </w:pPr>
            <w:r>
              <w:rPr>
                <w:rFonts w:eastAsia="Calibri" w:cs="" w:ascii="Arial" w:hAnsi="Arial"/>
                <w:kern w:val="2"/>
                <w:sz w:val="20"/>
                <w:szCs w:val="20"/>
              </w:rPr>
              <w:t>Medis vidutinio augumo, dekoratyviais plunksniškais lapais, tankia, kompaktiška, nuo kūgiškos iki ovalios formos laja. Žydi gausiai, žiedynai skėtiškos formos, žiedai balti, nuo gegužės iki birželio mėn. Vaisiai oranžiniai, stamboki, saldūs ir skanūs, sunoksta rugpjūčio mėnesio pabaigoje. Per 10 metų siekia 10-12 metrų aukštį ir 4-5 metrų plotį.</w:t>
            </w:r>
          </w:p>
        </w:tc>
        <w:tc>
          <w:tcPr>
            <w:tcW w:w="3402" w:type="dxa"/>
            <w:tcBorders>
              <w:left w:val="single" w:sz="4" w:space="0" w:color="000000"/>
              <w:bottom w:val="single" w:sz="4" w:space="0" w:color="000000"/>
              <w:right w:val="single" w:sz="4" w:space="0" w:color="000000"/>
            </w:tcBorders>
          </w:tcPr>
          <w:p>
            <w:pPr>
              <w:pStyle w:val="Lentelsturinys"/>
              <w:spacing w:before="0" w:after="200"/>
              <w:rPr>
                <w:rFonts w:ascii="Arial" w:hAnsi="Arial"/>
                <w:sz w:val="20"/>
                <w:szCs w:val="20"/>
              </w:rPr>
            </w:pPr>
            <w:r>
              <w:rPr/>
              <w:drawing>
                <wp:inline distT="0" distB="0" distL="0" distR="0">
                  <wp:extent cx="1055370" cy="1055370"/>
                  <wp:effectExtent l="0" t="0" r="0" b="0"/>
                  <wp:docPr id="136" name="Image21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21 Copy 1"/>
                          <pic:cNvPicPr>
                            <a:picLocks noChangeAspect="1" noChangeArrowheads="1"/>
                          </pic:cNvPicPr>
                        </pic:nvPicPr>
                        <pic:blipFill>
                          <a:blip r:embed="rId131"/>
                          <a:stretch>
                            <a:fillRect/>
                          </a:stretch>
                        </pic:blipFill>
                        <pic:spPr bwMode="auto">
                          <a:xfrm>
                            <a:off x="0" y="0"/>
                            <a:ext cx="1055370" cy="1055370"/>
                          </a:xfrm>
                          <a:prstGeom prst="rect">
                            <a:avLst/>
                          </a:prstGeom>
                          <a:noFill/>
                        </pic:spPr>
                      </pic:pic>
                    </a:graphicData>
                  </a:graphic>
                </wp:inline>
              </w:drawing>
            </w:r>
          </w:p>
        </w:tc>
      </w:tr>
      <w:tr>
        <w:trPr>
          <w:trHeight w:val="2184" w:hRule="atLeast"/>
        </w:trPr>
        <w:tc>
          <w:tcPr>
            <w:tcW w:w="2258" w:type="dxa"/>
            <w:tcBorders>
              <w:left w:val="single" w:sz="4" w:space="0" w:color="000000"/>
              <w:bottom w:val="single" w:sz="4" w:space="0" w:color="000000"/>
            </w:tcBorders>
          </w:tcPr>
          <w:p>
            <w:pPr>
              <w:pStyle w:val="Normal"/>
              <w:spacing w:before="0" w:after="0"/>
              <w:ind w:hanging="0"/>
              <w:contextualSpacing/>
              <w:rPr>
                <w:rFonts w:ascii="Arial" w:hAnsi="Arial" w:eastAsia="Calibri" w:cs=""/>
                <w:kern w:val="2"/>
                <w:sz w:val="20"/>
                <w:szCs w:val="20"/>
              </w:rPr>
            </w:pPr>
            <w:r>
              <w:rPr>
                <w:rFonts w:eastAsia="Calibri" w:cs="" w:ascii="Arial" w:hAnsi="Arial"/>
                <w:kern w:val="2"/>
                <w:sz w:val="20"/>
                <w:szCs w:val="20"/>
              </w:rPr>
              <w:t>Japoninė obelis</w:t>
            </w:r>
          </w:p>
        </w:tc>
        <w:tc>
          <w:tcPr>
            <w:tcW w:w="4545" w:type="dxa"/>
            <w:tcBorders>
              <w:left w:val="single" w:sz="4" w:space="0" w:color="000000"/>
              <w:bottom w:val="single" w:sz="4" w:space="0" w:color="000000"/>
            </w:tcBorders>
          </w:tcPr>
          <w:p>
            <w:pPr>
              <w:pStyle w:val="Normal"/>
              <w:spacing w:before="0" w:after="0"/>
              <w:ind w:hanging="0"/>
              <w:contextualSpacing/>
              <w:jc w:val="both"/>
              <w:rPr>
                <w:rFonts w:ascii="Arial" w:hAnsi="Arial" w:eastAsia="Calibri" w:cs=""/>
                <w:kern w:val="2"/>
                <w:sz w:val="20"/>
                <w:szCs w:val="20"/>
              </w:rPr>
            </w:pPr>
            <w:r>
              <w:rPr>
                <w:rFonts w:eastAsia="Calibri" w:cs="" w:ascii="Arial" w:hAnsi="Arial"/>
                <w:kern w:val="2"/>
                <w:sz w:val="20"/>
                <w:szCs w:val="20"/>
              </w:rPr>
              <w:t>Tai lėtai augantis, nykštukinis medis. Dekoratyvus vaismedis tvirtu kamienu ir išsikišusiomis šakomis.  Ji gali augti saulėtoje vietoje arba daliniame pavėsyje, yra atspari šalčiui (USDA zona 4B, iki -32 °C) ir nereikalauja sudėtingos priežiūros. Be to, jos vaisiai yra vertingi paukščiams žiemos metu.</w:t>
            </w:r>
          </w:p>
        </w:tc>
        <w:tc>
          <w:tcPr>
            <w:tcW w:w="3402" w:type="dxa"/>
            <w:tcBorders>
              <w:left w:val="single" w:sz="4" w:space="0" w:color="000000"/>
              <w:bottom w:val="single" w:sz="4" w:space="0" w:color="000000"/>
              <w:right w:val="single" w:sz="4" w:space="0" w:color="000000"/>
            </w:tcBorders>
          </w:tcPr>
          <w:p>
            <w:pPr>
              <w:pStyle w:val="Lentelsturinys"/>
              <w:spacing w:before="0" w:after="200"/>
              <w:rPr>
                <w:rFonts w:ascii="Arial" w:hAnsi="Arial"/>
                <w:sz w:val="20"/>
                <w:szCs w:val="20"/>
              </w:rPr>
            </w:pPr>
            <w:r>
              <w:rPr/>
              <w:drawing>
                <wp:inline distT="0" distB="0" distL="0" distR="0">
                  <wp:extent cx="2004060" cy="1129030"/>
                  <wp:effectExtent l="0" t="0" r="0" b="0"/>
                  <wp:docPr id="137" name="Image22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Image22 Copy 1"/>
                          <pic:cNvPicPr>
                            <a:picLocks noChangeAspect="1" noChangeArrowheads="1"/>
                          </pic:cNvPicPr>
                        </pic:nvPicPr>
                        <pic:blipFill>
                          <a:blip r:embed="rId132"/>
                          <a:stretch>
                            <a:fillRect/>
                          </a:stretch>
                        </pic:blipFill>
                        <pic:spPr bwMode="auto">
                          <a:xfrm>
                            <a:off x="0" y="0"/>
                            <a:ext cx="2004060" cy="1129030"/>
                          </a:xfrm>
                          <a:prstGeom prst="rect">
                            <a:avLst/>
                          </a:prstGeom>
                          <a:noFill/>
                        </pic:spPr>
                      </pic:pic>
                    </a:graphicData>
                  </a:graphic>
                </wp:inline>
              </w:drawing>
            </w:r>
          </w:p>
        </w:tc>
      </w:tr>
    </w:tbl>
    <w:p>
      <w:pPr>
        <w:pStyle w:val="Normal"/>
        <w:widowControl/>
        <w:spacing w:before="0" w:after="0"/>
        <w:ind w:firstLine="415"/>
        <w:contextualSpacing/>
        <w:rPr>
          <w:rFonts w:cs="Poppins ExtraLight"/>
        </w:rPr>
      </w:pPr>
      <w:r>
        <w:rPr>
          <w:rFonts w:cs="Poppins ExtraLight"/>
        </w:rPr>
      </w:r>
    </w:p>
    <w:p>
      <w:pPr>
        <w:pStyle w:val="Paprtekstas"/>
        <w:widowControl/>
        <w:suppressAutoHyphens w:val="true"/>
        <w:bidi w:val="0"/>
        <w:spacing w:lineRule="auto" w:line="276"/>
        <w:rPr>
          <w:color w:val="auto"/>
        </w:rPr>
      </w:pPr>
      <w:r>
        <w:rPr>
          <w:rFonts w:eastAsia="Times New Roman" w:cs="Times New Roman"/>
          <w:b/>
          <w:bCs/>
          <w:color w:val="auto"/>
          <w:kern w:val="0"/>
          <w:sz w:val="22"/>
          <w:szCs w:val="22"/>
          <w:lang w:val="lt-LT" w:eastAsia="en-US" w:bidi="ar-SA"/>
        </w:rPr>
        <w:t>6. KELIO ŽENKLAI</w:t>
      </w:r>
    </w:p>
    <w:p>
      <w:pPr>
        <w:pStyle w:val="Paprtekstas"/>
        <w:widowControl/>
        <w:suppressAutoHyphens w:val="true"/>
        <w:bidi w:val="0"/>
        <w:spacing w:lineRule="auto" w:line="276"/>
        <w:rPr>
          <w:color w:val="auto"/>
        </w:rPr>
      </w:pPr>
      <w:r>
        <w:rPr>
          <w:rFonts w:eastAsia="Times New Roman" w:cs="Times New Roman"/>
          <w:b/>
          <w:bCs/>
          <w:color w:val="auto"/>
          <w:kern w:val="0"/>
          <w:sz w:val="22"/>
          <w:szCs w:val="22"/>
          <w:lang w:val="lt-LT" w:eastAsia="en-US" w:bidi="ar-SA"/>
        </w:rPr>
        <w:t>6.1. Įvadas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Šiame skyriuje pateikti reikalavimai kelio ženklų atramų, skydų ir horizontaliojo ženklinimo medžiagoms, įrengimui, darbų kontrolei ir priėmimui.</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TS skyrius parengtas pagal Kelių eismo taisyklių (toliau – KET), Automobilių kelių vertikaliųjų kelio ženklų įrengimo taisyklių ĮT VŽ 14 (toliau – ĮT VŽ 14), Kelio ženklų atramų parinkimo, projektavimo ir įrengimo taisyklių PĮT KŽA 08 (toliau – PĮT KŽA 08), Kelių ženklų įrengimo ir vertikaliojo ženklinimo taisyklių, Kelių ženklinimo medžiagų naudojimo ir ženklinimo įrengimo taisyklių ĮT ŽM 12 (toliau – ĮT ŽM 12), Automobilių kelių vertikaliųjų kelio ženklų techninių reikalavimų aprašo (toliau – TRA VŽ 12), Kelių horizontaliojo ženklinimo taisyklės, galiojančių Lietuvos standartų (LST) ir kitų normatyvinių statybos techninių dokumentų reikalavimus.</w:t>
      </w:r>
    </w:p>
    <w:p>
      <w:pPr>
        <w:pStyle w:val="Paprtekstas"/>
        <w:widowControl/>
        <w:suppressAutoHyphens w:val="true"/>
        <w:bidi w:val="0"/>
        <w:spacing w:lineRule="auto" w:line="276"/>
        <w:rPr>
          <w:color w:val="auto"/>
        </w:rPr>
      </w:pPr>
      <w:r>
        <w:rPr>
          <w:rFonts w:eastAsia="Times New Roman" w:cs="Times New Roman"/>
          <w:b/>
          <w:bCs/>
          <w:color w:val="auto"/>
          <w:kern w:val="0"/>
          <w:sz w:val="22"/>
          <w:szCs w:val="22"/>
          <w:lang w:val="lt-LT" w:eastAsia="en-US" w:bidi="ar-SA"/>
        </w:rPr>
        <w:t>6.2. Medžiagos</w:t>
      </w:r>
    </w:p>
    <w:p>
      <w:pPr>
        <w:pStyle w:val="Paprtekstas"/>
        <w:widowControl/>
        <w:suppressAutoHyphens w:val="true"/>
        <w:bidi w:val="0"/>
        <w:spacing w:lineRule="auto" w:line="276"/>
        <w:rPr>
          <w:color w:val="auto"/>
        </w:rPr>
      </w:pPr>
      <w:r>
        <w:rPr>
          <w:rFonts w:eastAsia="Times New Roman" w:cs="Times New Roman"/>
          <w:i/>
          <w:iCs/>
          <w:color w:val="auto"/>
          <w:kern w:val="0"/>
          <w:szCs w:val="24"/>
          <w:u w:val="single"/>
          <w:lang w:val="lt-LT" w:eastAsia="en-US" w:bidi="ar-SA"/>
        </w:rPr>
        <w:t>Kelio ženklų atramos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Kelio ženklų atramos, jų pamatai ir naudojamos medžiagos turi atitikti PĮT KŽA 08 IV skyriaus I skirsnyje pateiktus reikalavimus.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Individualaus projektavimo informacinių kelio ženklų atramos, pamatai ir naudojamos medžiagos turi atitikti PĮT KŽA 08 V skyriaus III-VII skirsniais. Kelio ženklų atramų plieno klasė parenkama pagal LST EN 10027 arba lygiavertį dokumentą. Kelio ženklų atramos ir jungiamosios detalės nuo aplinkos poveikio turi būti apsaugoti cinko antikorozine danga pagal LST EN ISO 1461 arba lygiavertį dokumentą.\</w:t>
      </w:r>
    </w:p>
    <w:p>
      <w:pPr>
        <w:pStyle w:val="Paprtekstas"/>
        <w:widowControl/>
        <w:suppressAutoHyphens w:val="true"/>
        <w:bidi w:val="0"/>
        <w:spacing w:lineRule="auto" w:line="276"/>
        <w:rPr>
          <w:color w:val="auto"/>
        </w:rPr>
      </w:pPr>
      <w:r>
        <w:rPr>
          <w:rFonts w:eastAsia="Times New Roman" w:cs="Times New Roman"/>
          <w:i/>
          <w:iCs/>
          <w:color w:val="auto"/>
          <w:kern w:val="0"/>
          <w:szCs w:val="24"/>
          <w:u w:val="single"/>
          <w:lang w:val="lt-LT" w:eastAsia="en-US" w:bidi="ar-SA"/>
        </w:rPr>
        <w:t>Kelio ženklų skydai</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Standartinių nuolatinių vertikaliųjų kelio ženklų ir individualiai projektuojamų kelio ženklų dydis parenkamas pagal Kelių ženklų ir vertikaliojo ženklinimo taisyklių nurodymus (TRA VŽ 12).</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Ženklo paviršius turi būti lygus, valomas ir atsparus oro sąlygoms. Minimalus kelio ženklų skydų atspindžio koeficientas RA parenkamas pagal TRA VŽ 12 1 priedo reikalavimus. Produktai turi būti CE ženklu pagal standarto LST EN 12899-1 ZA priedo arba lygiaverčio reikalavimus ir turi būti su gamintojo informacija bei atitikti aprašo TRA VŽ 12 reikalavimus. Kelio ženklų skydai turi atitikti LST EN 485 serijos arba lygiaverčių reikalavimus, padaryti iš EN AW 4016/H28 klasės dvigubo lenkimo aliuminio skardos pagal LST EN 485-2 arba lygiavertį.</w:t>
      </w:r>
    </w:p>
    <w:p>
      <w:pPr>
        <w:pStyle w:val="Paprtekstas"/>
        <w:widowControl/>
        <w:suppressAutoHyphens w:val="true"/>
        <w:bidi w:val="0"/>
        <w:spacing w:lineRule="auto" w:line="276"/>
        <w:rPr>
          <w:color w:val="auto"/>
        </w:rPr>
      </w:pPr>
      <w:r>
        <w:rPr>
          <w:rFonts w:eastAsia="Times New Roman" w:cs="Times New Roman"/>
          <w:i/>
          <w:iCs/>
          <w:color w:val="auto"/>
          <w:kern w:val="0"/>
          <w:szCs w:val="24"/>
          <w:u w:val="single"/>
          <w:lang w:val="lt-LT" w:eastAsia="en-US" w:bidi="ar-SA"/>
        </w:rPr>
        <w:t>Kelio ženklų pamatai</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Pamatų betonas turi atitikti XF2 klasę pagal aplinkos sąlygas, C25/30 stiprumo klasę ir F50 šalčiui atsparumo klasę.</w:t>
      </w:r>
    </w:p>
    <w:p>
      <w:pPr>
        <w:pStyle w:val="Paprtekstas"/>
        <w:widowControl/>
        <w:suppressAutoHyphens w:val="true"/>
        <w:bidi w:val="0"/>
        <w:spacing w:lineRule="auto" w:line="276"/>
        <w:rPr>
          <w:color w:val="auto"/>
        </w:rPr>
      </w:pPr>
      <w:r>
        <w:rPr>
          <w:rFonts w:eastAsia="Times New Roman" w:cs="Times New Roman"/>
          <w:i/>
          <w:iCs/>
          <w:color w:val="auto"/>
          <w:kern w:val="0"/>
          <w:szCs w:val="24"/>
          <w:u w:val="single"/>
          <w:lang w:val="lt-LT" w:eastAsia="en-US" w:bidi="ar-SA"/>
        </w:rPr>
        <w:t>Dangos ženklinimas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 xml:space="preserve">Kelio danga ženklinama vadovaujantis ĮT ŽM 12 9 priedo 5 lentelės nurodymais, danga ženklinama termoplastu. Naudojamos medžiagos turi būti atsparios klimato poveikiui ir cheminiams junginiams, naudojamiems kelių priežiūrai. Dangos ženklinimui naudojamų medžiagų atspindėjimas šviesai turi atitikti ĮT ŽM 12 III ir IV skirsnių reikalavimus. Jei ant numatytos dangos neįmanoma įrengti ženklinimo termoplastu tada danga ženklinama dažais. </w:t>
      </w:r>
      <w:r>
        <w:rPr/>
        <w:t xml:space="preserve">Dažai skirti lauko betoninių trinkelių dangų ženklinimui (pėsčiųjų takai, aikštelės, parkavimas), horizontaliems paviršiams su pėsčiųjų ir lengvuoju transporto eismu. Rišiklis – akrilinis, vandeniu skiedžiamas arba tirpiklinis, spalvos pagal RAL (tiklinama DP), paviršius matinis arba pusiau matinis. Sukibimas su betonu turi būti ne mažesnis kaip 1,5 MPa, džiūvimo laikas iki dulkių neprilimpamumo – iki 1 h, pėsčiųjų eismui – iki 4 h, automobilių eismui – iki 24 h esant +20 °C. Dažai turi būti atsparūs dilimui ir atmosferos poveikiui mažiausiai 2 metus, užtikrinti neslidų paviršių (R11 ar lygiavertė klasė), rekomenduojamas sausas sluoksnio storis 150–300 µm, sąnaudos apie 0,25–0,45 kg/m². Betoninės trinkelės prieš dažymą turi būti sausos, švarios ir tvirtos, jų drėgnumas – ne didesnis kaip 4 %, darbai atliekami esant nuo +5 °C iki +30 °C, be lietaus. Dažai tiekiami sandariuose 5–25 l kibiruose, tinkamumo naudoti terminas – ne trumpesnis kaip 12 mėn., privalomi gamintojo techninis ir saugos duomenų lapai, sudėtis be švino ir kitų draudžiamų pigmentų, VOC kiekis atitinka galiojančius reikalavimus. </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 xml:space="preserve">Ženklinimo medžiagų eksploatacines charakteristikas bei bandymų reikalavimus nustato TRA ŽM 12 dokumentas. Dangos ženklinimo matmenys, forma, spalva ir savybės turi atitikti Kelių horizontaliojo ženklinimo taisykles. </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Dangos ženklinimo tipas bei medžiagos parinkti vadovaujantis Kelių ženklinimo medžiagų naudojimo ir ženklinimo įrengimo taisyklėmis ĮT ŽM 12.</w:t>
      </w:r>
    </w:p>
    <w:p>
      <w:pPr>
        <w:pStyle w:val="Paprtekstas"/>
        <w:widowControl/>
        <w:suppressAutoHyphens w:val="true"/>
        <w:bidi w:val="0"/>
        <w:spacing w:lineRule="auto" w:line="276"/>
        <w:rPr>
          <w:color w:val="auto"/>
        </w:rPr>
      </w:pPr>
      <w:r>
        <w:rPr>
          <w:rFonts w:eastAsia="Times New Roman" w:cs="Times New Roman"/>
          <w:b/>
          <w:bCs/>
          <w:color w:val="auto"/>
          <w:kern w:val="0"/>
          <w:sz w:val="22"/>
          <w:szCs w:val="22"/>
          <w:lang w:val="lt-LT" w:eastAsia="en-US" w:bidi="ar-SA"/>
        </w:rPr>
        <w:t>6.3. Darbų atlikimas</w:t>
      </w:r>
    </w:p>
    <w:p>
      <w:pPr>
        <w:pStyle w:val="Paprtekstas"/>
        <w:widowControl/>
        <w:suppressAutoHyphens w:val="true"/>
        <w:bidi w:val="0"/>
        <w:spacing w:lineRule="auto" w:line="276"/>
        <w:rPr>
          <w:color w:val="auto"/>
        </w:rPr>
      </w:pPr>
      <w:r>
        <w:rPr>
          <w:rFonts w:eastAsia="Times New Roman" w:cs="Times New Roman"/>
          <w:i/>
          <w:iCs/>
          <w:color w:val="auto"/>
          <w:kern w:val="0"/>
          <w:szCs w:val="24"/>
          <w:u w:val="single"/>
          <w:lang w:val="lt-LT" w:eastAsia="en-US" w:bidi="ar-SA"/>
        </w:rPr>
        <w:t>Kelio ženklai</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 xml:space="preserve">Kelio ženklų atramų tvirtinimas, apačios gabaritas, plieninių vamzdžių stulpelių diametras, sienelės storis ir kelio ženklo skydo tvirtinimas prie atramos parenkamas vadovaujantis PĮT KŽA 08. </w:t>
      </w:r>
    </w:p>
    <w:p>
      <w:pPr>
        <w:pStyle w:val="Paprtekstas"/>
        <w:widowControl/>
        <w:suppressAutoHyphens w:val="true"/>
        <w:bidi w:val="0"/>
        <w:spacing w:lineRule="auto" w:line="276"/>
        <w:rPr>
          <w:color w:val="auto"/>
        </w:rPr>
      </w:pPr>
      <w:r>
        <w:rPr>
          <w:rFonts w:eastAsia="Times New Roman" w:cs="Times New Roman"/>
          <w:i/>
          <w:iCs/>
          <w:color w:val="auto"/>
          <w:kern w:val="0"/>
          <w:szCs w:val="24"/>
          <w:u w:val="single"/>
          <w:lang w:val="lt-LT" w:eastAsia="en-US" w:bidi="ar-SA"/>
        </w:rPr>
        <w:t>Dangos ženklinimas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Linijų ir simbolių tipai nurodomi projekte, o kiekiai pateikti suvestiniame darbų kiekių žiniaraštyje. Siekiant, kad dangos ženklinimo medžiagos gerai sukibtų su danga, jos paviršius turi būti sausas ir švarus.</w:t>
      </w:r>
    </w:p>
    <w:p>
      <w:pPr>
        <w:pStyle w:val="Paprtekstas"/>
        <w:widowControl/>
        <w:suppressAutoHyphens w:val="true"/>
        <w:bidi w:val="0"/>
        <w:spacing w:lineRule="auto" w:line="276"/>
        <w:rPr>
          <w:color w:val="auto"/>
        </w:rPr>
      </w:pPr>
      <w:r>
        <w:rPr>
          <w:rFonts w:eastAsia="Times New Roman" w:cs="Times New Roman"/>
          <w:i/>
          <w:iCs/>
          <w:color w:val="auto"/>
          <w:kern w:val="0"/>
          <w:szCs w:val="24"/>
          <w:u w:val="single"/>
          <w:lang w:val="lt-LT" w:eastAsia="en-US" w:bidi="ar-SA"/>
        </w:rPr>
        <w:t>Eismo reguliavimo priemonės</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Eismo reguliavimo priemonės naudojamos vadovaujantis projektu ir kelių darbo vietų aptvėrimo ir eismo organizavimo taisyklėmis T DVAER 12.</w:t>
      </w:r>
    </w:p>
    <w:p>
      <w:pPr>
        <w:pStyle w:val="Paprtekstas"/>
        <w:widowControl/>
        <w:suppressAutoHyphens w:val="true"/>
        <w:bidi w:val="0"/>
        <w:spacing w:lineRule="auto" w:line="276"/>
        <w:rPr>
          <w:color w:val="auto"/>
        </w:rPr>
      </w:pPr>
      <w:r>
        <w:rPr>
          <w:rFonts w:eastAsia="Times New Roman" w:cs="Times New Roman"/>
          <w:b/>
          <w:bCs/>
          <w:color w:val="auto"/>
          <w:kern w:val="0"/>
          <w:sz w:val="22"/>
          <w:szCs w:val="22"/>
          <w:lang w:val="lt-LT" w:eastAsia="en-US" w:bidi="ar-SA"/>
        </w:rPr>
        <w:t>6.4. Darbų kontrolė ir priėmimas</w:t>
      </w:r>
    </w:p>
    <w:p>
      <w:pPr>
        <w:pStyle w:val="Paprtekstas"/>
        <w:widowControl/>
        <w:suppressAutoHyphens w:val="true"/>
        <w:bidi w:val="0"/>
        <w:spacing w:lineRule="auto" w:line="276"/>
        <w:rPr>
          <w:color w:val="auto"/>
        </w:rPr>
      </w:pPr>
      <w:r>
        <w:rPr>
          <w:rFonts w:eastAsia="Times New Roman" w:cs="Times New Roman"/>
          <w:i/>
          <w:iCs/>
          <w:color w:val="auto"/>
          <w:kern w:val="0"/>
          <w:szCs w:val="24"/>
          <w:u w:val="single"/>
          <w:lang w:val="lt-LT" w:eastAsia="en-US" w:bidi="ar-SA"/>
        </w:rPr>
        <w:t>Pristatymas, sandėliavimas ir kokybės bandymai</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Kelio ženklus ir eismo reguliavimo priemones pristato specializuoti gamintojai. Visos medžiagos laikomos dengtose ir sausose saugyklose.</w:t>
      </w:r>
    </w:p>
    <w:p>
      <w:pPr>
        <w:pStyle w:val="Paprtekstas"/>
        <w:widowControl/>
        <w:suppressAutoHyphens w:val="true"/>
        <w:bidi w:val="0"/>
        <w:spacing w:lineRule="auto" w:line="276"/>
        <w:rPr>
          <w:color w:val="auto"/>
        </w:rPr>
      </w:pPr>
      <w:r>
        <w:rPr>
          <w:rFonts w:eastAsia="Times New Roman" w:cs="Times New Roman"/>
          <w:i/>
          <w:iCs/>
          <w:color w:val="auto"/>
          <w:kern w:val="0"/>
          <w:szCs w:val="24"/>
          <w:u w:val="single"/>
          <w:lang w:val="lt-LT" w:eastAsia="en-US" w:bidi="ar-SA"/>
        </w:rPr>
        <w:t>Kontrolė ir kontroliniai bandymai</w:t>
      </w:r>
    </w:p>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Kelio ženklų ir dangos ženklinimo kontrolinius bandymus atlieka įgaliojimus turinčios institucijos, bandymai turi atitikti ĮT ŽM 12 bei TRA VŽ 12 keliamus reikalavimus. Kelio ženklų matomumas dienos ir nakties metu tikrinamas specialiais prietaisais. Kelio ženklų pastatymo tikslumas tikrinamas specialiais matuokliais.</w:t>
      </w:r>
    </w:p>
    <w:p>
      <w:pPr>
        <w:pStyle w:val="Paprtekstas"/>
        <w:widowControl/>
        <w:suppressAutoHyphens w:val="true"/>
        <w:bidi w:val="0"/>
        <w:spacing w:lineRule="auto" w:line="276"/>
        <w:rPr>
          <w:color w:val="auto"/>
        </w:rPr>
      </w:pPr>
      <w:r>
        <w:rPr>
          <w:rFonts w:eastAsia="Times New Roman" w:cs="Times New Roman"/>
          <w:i/>
          <w:iCs/>
          <w:color w:val="auto"/>
          <w:kern w:val="0"/>
          <w:szCs w:val="24"/>
          <w:u w:val="single"/>
          <w:lang w:val="lt-LT" w:eastAsia="en-US" w:bidi="ar-SA"/>
        </w:rPr>
        <w:t>Priėmimas ir matavimai</w:t>
      </w:r>
    </w:p>
    <w:p>
      <w:pPr>
        <w:pStyle w:val="Paprtekstas"/>
        <w:rPr>
          <w:color w:val="auto"/>
        </w:rPr>
      </w:pPr>
      <w:r>
        <w:rPr>
          <w:color w:val="auto"/>
        </w:rPr>
        <w:t>Priimant darbus turi būti patikrinami kelio ženklų atitikimas Projekto brėžiniams, darbų išbaigtumas ir nuokrypiai. Pastebėti trūkumai (pažeisti ženklai, kelio ženklų netikslumas ar neišbaigtumas ir t.t.) ištaisomi Rangovo sąskaita. Darbai priimami pagal ĮT VŽ 14 X skyriaus keliamus reikalavimus.</w:t>
      </w:r>
    </w:p>
    <w:p>
      <w:pPr>
        <w:pStyle w:val="Caption"/>
        <w:keepNext w:val="true"/>
        <w:rPr>
          <w:color w:val="auto"/>
        </w:rPr>
      </w:pPr>
      <w:r>
        <w:rPr>
          <w:color w:val="auto"/>
        </w:rPr>
        <w:t>Standartai</w:t>
      </w:r>
    </w:p>
    <w:tbl>
      <w:tblPr>
        <w:tblW w:w="9383" w:type="dxa"/>
        <w:jc w:val="left"/>
        <w:tblInd w:w="-27" w:type="dxa"/>
        <w:tblLayout w:type="fixed"/>
        <w:tblCellMar>
          <w:top w:w="0" w:type="dxa"/>
          <w:left w:w="122" w:type="dxa"/>
          <w:bottom w:w="0" w:type="dxa"/>
          <w:right w:w="108" w:type="dxa"/>
        </w:tblCellMar>
      </w:tblPr>
      <w:tblGrid>
        <w:gridCol w:w="2649"/>
        <w:gridCol w:w="6734"/>
      </w:tblGrid>
      <w:tr>
        <w:trPr/>
        <w:tc>
          <w:tcPr>
            <w:tcW w:w="2649" w:type="dxa"/>
            <w:tcBorders>
              <w:top w:val="single" w:sz="2" w:space="0" w:color="00000A"/>
              <w:left w:val="single" w:sz="2" w:space="0" w:color="00000A"/>
              <w:bottom w:val="single" w:sz="2" w:space="0" w:color="00000A"/>
            </w:tcBorders>
          </w:tcPr>
          <w:p>
            <w:pPr>
              <w:pStyle w:val="Paprtekstas"/>
              <w:spacing w:before="0" w:after="120"/>
              <w:ind w:hanging="0" w:right="0"/>
              <w:rPr>
                <w:color w:val="auto"/>
              </w:rPr>
            </w:pPr>
            <w:r>
              <w:rPr>
                <w:rFonts w:cs="Times New Roman"/>
                <w:color w:val="auto"/>
                <w:sz w:val="18"/>
                <w:szCs w:val="18"/>
              </w:rPr>
              <w:t>LST EN 1463-2:2002</w:t>
            </w:r>
          </w:p>
        </w:tc>
        <w:tc>
          <w:tcPr>
            <w:tcW w:w="6734" w:type="dxa"/>
            <w:tcBorders>
              <w:top w:val="single" w:sz="2" w:space="0" w:color="00000A"/>
              <w:left w:val="single" w:sz="2" w:space="0" w:color="00000A"/>
              <w:bottom w:val="single" w:sz="2" w:space="0" w:color="00000A"/>
              <w:right w:val="single" w:sz="2" w:space="0" w:color="00000A"/>
            </w:tcBorders>
          </w:tcPr>
          <w:p>
            <w:pPr>
              <w:pStyle w:val="Paprtekstas"/>
              <w:spacing w:before="0" w:after="120"/>
              <w:ind w:hanging="0" w:right="0"/>
              <w:rPr>
                <w:color w:val="auto"/>
              </w:rPr>
            </w:pPr>
            <w:r>
              <w:rPr>
                <w:rFonts w:cs="Times New Roman"/>
                <w:color w:val="auto"/>
                <w:sz w:val="18"/>
                <w:szCs w:val="18"/>
              </w:rPr>
              <w:t>Kelių ženklinimo medžiagos. Iškilieji atspindintys kelių įdėklai. 2 dalis. Bandymų kelyje reikalavimai.</w:t>
            </w:r>
          </w:p>
        </w:tc>
      </w:tr>
      <w:tr>
        <w:trPr/>
        <w:tc>
          <w:tcPr>
            <w:tcW w:w="2649" w:type="dxa"/>
            <w:tcBorders>
              <w:left w:val="single" w:sz="2" w:space="0" w:color="00000A"/>
              <w:bottom w:val="single" w:sz="2" w:space="0" w:color="00000A"/>
            </w:tcBorders>
          </w:tcPr>
          <w:p>
            <w:pPr>
              <w:pStyle w:val="Paprtekstas"/>
              <w:spacing w:before="0" w:after="120"/>
              <w:ind w:hanging="0" w:right="0"/>
              <w:rPr>
                <w:color w:val="auto"/>
              </w:rPr>
            </w:pPr>
            <w:r>
              <w:rPr>
                <w:rFonts w:cs="Times New Roman"/>
                <w:color w:val="auto"/>
                <w:sz w:val="18"/>
                <w:szCs w:val="18"/>
              </w:rPr>
              <w:t>LST EN 1790:2014</w:t>
            </w:r>
          </w:p>
        </w:tc>
        <w:tc>
          <w:tcPr>
            <w:tcW w:w="6734" w:type="dxa"/>
            <w:tcBorders>
              <w:left w:val="single" w:sz="2" w:space="0" w:color="00000A"/>
              <w:bottom w:val="single" w:sz="2" w:space="0" w:color="00000A"/>
              <w:right w:val="single" w:sz="2" w:space="0" w:color="00000A"/>
            </w:tcBorders>
          </w:tcPr>
          <w:p>
            <w:pPr>
              <w:pStyle w:val="Paprtekstas"/>
              <w:spacing w:before="0" w:after="120"/>
              <w:ind w:hanging="0" w:right="0"/>
              <w:rPr>
                <w:color w:val="auto"/>
              </w:rPr>
            </w:pPr>
            <w:r>
              <w:rPr>
                <w:rFonts w:cs="Times New Roman"/>
                <w:color w:val="auto"/>
                <w:sz w:val="18"/>
                <w:szCs w:val="18"/>
              </w:rPr>
              <w:t>Kelių ženklinimo medžiagos. Gamykliniai kelių ženklinimo elementai</w:t>
            </w:r>
          </w:p>
        </w:tc>
      </w:tr>
      <w:tr>
        <w:trPr/>
        <w:tc>
          <w:tcPr>
            <w:tcW w:w="2649" w:type="dxa"/>
            <w:tcBorders>
              <w:left w:val="single" w:sz="2" w:space="0" w:color="00000A"/>
              <w:bottom w:val="single" w:sz="2" w:space="0" w:color="00000A"/>
            </w:tcBorders>
          </w:tcPr>
          <w:p>
            <w:pPr>
              <w:pStyle w:val="Paprtekstas"/>
              <w:spacing w:before="0" w:after="120"/>
              <w:ind w:hanging="0" w:right="0"/>
              <w:rPr>
                <w:color w:val="auto"/>
              </w:rPr>
            </w:pPr>
            <w:r>
              <w:rPr>
                <w:rFonts w:cs="Times New Roman"/>
                <w:color w:val="auto"/>
                <w:sz w:val="18"/>
                <w:szCs w:val="18"/>
              </w:rPr>
              <w:t>LST EN 1871:2002</w:t>
            </w:r>
          </w:p>
        </w:tc>
        <w:tc>
          <w:tcPr>
            <w:tcW w:w="6734" w:type="dxa"/>
            <w:tcBorders>
              <w:left w:val="single" w:sz="2" w:space="0" w:color="00000A"/>
              <w:bottom w:val="single" w:sz="2" w:space="0" w:color="00000A"/>
              <w:right w:val="single" w:sz="2" w:space="0" w:color="00000A"/>
            </w:tcBorders>
          </w:tcPr>
          <w:p>
            <w:pPr>
              <w:pStyle w:val="Paprtekstas"/>
              <w:spacing w:before="0" w:after="120"/>
              <w:ind w:hanging="0" w:right="0"/>
              <w:rPr>
                <w:color w:val="auto"/>
              </w:rPr>
            </w:pPr>
            <w:r>
              <w:rPr>
                <w:rFonts w:cs="Times New Roman"/>
                <w:color w:val="auto"/>
                <w:sz w:val="18"/>
                <w:szCs w:val="18"/>
              </w:rPr>
              <w:t>Kelių ženklinimo medžiagos. Fizikinės savybės.</w:t>
            </w:r>
          </w:p>
        </w:tc>
      </w:tr>
      <w:tr>
        <w:trPr/>
        <w:tc>
          <w:tcPr>
            <w:tcW w:w="2649" w:type="dxa"/>
            <w:tcBorders>
              <w:left w:val="single" w:sz="2" w:space="0" w:color="00000A"/>
              <w:bottom w:val="single" w:sz="2" w:space="0" w:color="00000A"/>
            </w:tcBorders>
          </w:tcPr>
          <w:p>
            <w:pPr>
              <w:pStyle w:val="Paprtekstas"/>
              <w:spacing w:before="0" w:after="120"/>
              <w:ind w:hanging="0" w:right="0"/>
              <w:rPr>
                <w:color w:val="auto"/>
              </w:rPr>
            </w:pPr>
            <w:r>
              <w:rPr>
                <w:rFonts w:cs="Times New Roman"/>
                <w:color w:val="auto"/>
                <w:sz w:val="18"/>
                <w:szCs w:val="18"/>
              </w:rPr>
              <w:t>LST EN 12352:2006</w:t>
            </w:r>
          </w:p>
        </w:tc>
        <w:tc>
          <w:tcPr>
            <w:tcW w:w="6734" w:type="dxa"/>
            <w:tcBorders>
              <w:left w:val="single" w:sz="2" w:space="0" w:color="00000A"/>
              <w:bottom w:val="single" w:sz="2" w:space="0" w:color="00000A"/>
              <w:right w:val="single" w:sz="2" w:space="0" w:color="00000A"/>
            </w:tcBorders>
          </w:tcPr>
          <w:p>
            <w:pPr>
              <w:pStyle w:val="Paprtekstas"/>
              <w:spacing w:before="0" w:after="120"/>
              <w:ind w:hanging="0" w:right="0"/>
              <w:rPr>
                <w:color w:val="auto"/>
              </w:rPr>
            </w:pPr>
            <w:r>
              <w:rPr>
                <w:rFonts w:cs="Times New Roman"/>
                <w:color w:val="auto"/>
                <w:sz w:val="18"/>
                <w:szCs w:val="18"/>
              </w:rPr>
              <w:t>Eismo kontrolės įranga. Įspėjamieji saugos šviesos įtaisai.</w:t>
            </w:r>
          </w:p>
        </w:tc>
      </w:tr>
      <w:tr>
        <w:trPr/>
        <w:tc>
          <w:tcPr>
            <w:tcW w:w="2649" w:type="dxa"/>
            <w:tcBorders>
              <w:left w:val="single" w:sz="2" w:space="0" w:color="00000A"/>
              <w:bottom w:val="single" w:sz="2" w:space="0" w:color="00000A"/>
            </w:tcBorders>
          </w:tcPr>
          <w:p>
            <w:pPr>
              <w:pStyle w:val="Paprtekstas"/>
              <w:spacing w:before="0" w:after="120"/>
              <w:ind w:hanging="0" w:right="0"/>
              <w:rPr>
                <w:color w:val="auto"/>
              </w:rPr>
            </w:pPr>
            <w:r>
              <w:rPr>
                <w:rFonts w:cs="Times New Roman"/>
                <w:color w:val="auto"/>
                <w:sz w:val="18"/>
                <w:szCs w:val="18"/>
              </w:rPr>
              <w:t>LST EN 12767:2008</w:t>
            </w:r>
          </w:p>
        </w:tc>
        <w:tc>
          <w:tcPr>
            <w:tcW w:w="6734" w:type="dxa"/>
            <w:tcBorders>
              <w:left w:val="single" w:sz="2" w:space="0" w:color="00000A"/>
              <w:bottom w:val="single" w:sz="2" w:space="0" w:color="00000A"/>
              <w:right w:val="single" w:sz="2" w:space="0" w:color="00000A"/>
            </w:tcBorders>
          </w:tcPr>
          <w:p>
            <w:pPr>
              <w:pStyle w:val="Paprtekstas"/>
              <w:spacing w:before="0" w:after="120"/>
              <w:ind w:hanging="0" w:right="0"/>
              <w:rPr>
                <w:color w:val="auto"/>
              </w:rPr>
            </w:pPr>
            <w:r>
              <w:rPr>
                <w:rFonts w:cs="Times New Roman"/>
                <w:color w:val="auto"/>
                <w:sz w:val="18"/>
                <w:szCs w:val="18"/>
              </w:rPr>
              <w:t>Kelio įrenginių atraminių konstrukcijų pasyvioji sauga. Reikalavimai, klasifikavimas ir bandymo metodai</w:t>
            </w:r>
          </w:p>
        </w:tc>
      </w:tr>
      <w:tr>
        <w:trPr/>
        <w:tc>
          <w:tcPr>
            <w:tcW w:w="2649" w:type="dxa"/>
            <w:tcBorders>
              <w:left w:val="single" w:sz="2" w:space="0" w:color="00000A"/>
              <w:bottom w:val="single" w:sz="2" w:space="0" w:color="00000A"/>
            </w:tcBorders>
          </w:tcPr>
          <w:p>
            <w:pPr>
              <w:pStyle w:val="Paprtekstas"/>
              <w:spacing w:before="0" w:after="120"/>
              <w:ind w:hanging="0" w:right="0"/>
              <w:rPr>
                <w:color w:val="auto"/>
              </w:rPr>
            </w:pPr>
            <w:r>
              <w:rPr>
                <w:rFonts w:cs="Times New Roman"/>
                <w:color w:val="auto"/>
                <w:sz w:val="18"/>
                <w:szCs w:val="18"/>
              </w:rPr>
              <w:t>LST EN 12899-1:2008</w:t>
            </w:r>
          </w:p>
        </w:tc>
        <w:tc>
          <w:tcPr>
            <w:tcW w:w="6734" w:type="dxa"/>
            <w:tcBorders>
              <w:left w:val="single" w:sz="2" w:space="0" w:color="00000A"/>
              <w:bottom w:val="single" w:sz="2" w:space="0" w:color="00000A"/>
              <w:right w:val="single" w:sz="2" w:space="0" w:color="00000A"/>
            </w:tcBorders>
          </w:tcPr>
          <w:p>
            <w:pPr>
              <w:pStyle w:val="Paprtekstas"/>
              <w:spacing w:before="0" w:after="120"/>
              <w:ind w:hanging="0" w:right="0"/>
              <w:rPr>
                <w:color w:val="auto"/>
              </w:rPr>
            </w:pPr>
            <w:r>
              <w:rPr>
                <w:rFonts w:cs="Times New Roman"/>
                <w:color w:val="auto"/>
                <w:sz w:val="18"/>
                <w:szCs w:val="18"/>
              </w:rPr>
              <w:t>Nuolatiniai vertikalieji kelio ženklai. 1 dalis. Nuolatiniai ženklai.</w:t>
            </w:r>
          </w:p>
        </w:tc>
      </w:tr>
    </w:tbl>
    <w:p>
      <w:pPr>
        <w:pStyle w:val="Paprtekstas"/>
        <w:widowControl/>
        <w:suppressAutoHyphens w:val="true"/>
        <w:bidi w:val="0"/>
        <w:spacing w:lineRule="auto" w:line="276"/>
        <w:rPr>
          <w:color w:val="auto"/>
        </w:rPr>
      </w:pPr>
      <w:r>
        <w:rPr>
          <w:rFonts w:eastAsia="Times New Roman" w:cs="Times New Roman"/>
          <w:color w:val="auto"/>
          <w:kern w:val="0"/>
          <w:szCs w:val="24"/>
          <w:lang w:val="lt-LT" w:eastAsia="en-US" w:bidi="ar-SA"/>
        </w:rPr>
        <w:t>Be šių standartų gali būti taikomi ir kiti juos atitinkantys lygiaverčiai standartai.</w:t>
      </w:r>
    </w:p>
    <w:p>
      <w:pPr>
        <w:pStyle w:val="Caption"/>
        <w:keepNext w:val="true"/>
        <w:rPr>
          <w:color w:val="auto"/>
        </w:rPr>
      </w:pPr>
      <w:r>
        <w:rPr>
          <w:color w:val="auto"/>
        </w:rPr>
        <w:t>Statybos techniniai dokumentai</w:t>
      </w:r>
    </w:p>
    <w:tbl>
      <w:tblPr>
        <w:tblW w:w="9383" w:type="dxa"/>
        <w:jc w:val="left"/>
        <w:tblInd w:w="-27" w:type="dxa"/>
        <w:tblLayout w:type="fixed"/>
        <w:tblCellMar>
          <w:top w:w="0" w:type="dxa"/>
          <w:left w:w="122" w:type="dxa"/>
          <w:bottom w:w="0" w:type="dxa"/>
          <w:right w:w="108" w:type="dxa"/>
        </w:tblCellMar>
      </w:tblPr>
      <w:tblGrid>
        <w:gridCol w:w="2620"/>
        <w:gridCol w:w="6763"/>
      </w:tblGrid>
      <w:tr>
        <w:trPr/>
        <w:tc>
          <w:tcPr>
            <w:tcW w:w="2620" w:type="dxa"/>
            <w:tcBorders>
              <w:top w:val="single" w:sz="2" w:space="0" w:color="00000A"/>
              <w:left w:val="single" w:sz="2" w:space="0" w:color="00000A"/>
              <w:bottom w:val="single" w:sz="2" w:space="0" w:color="00000A"/>
            </w:tcBorders>
          </w:tcPr>
          <w:p>
            <w:pPr>
              <w:pStyle w:val="Paprtekstas"/>
              <w:spacing w:before="0" w:after="120"/>
              <w:ind w:hanging="0" w:right="0"/>
              <w:rPr>
                <w:color w:val="auto"/>
              </w:rPr>
            </w:pPr>
            <w:r>
              <w:rPr>
                <w:rFonts w:cs="Times New Roman"/>
                <w:color w:val="auto"/>
                <w:sz w:val="18"/>
                <w:szCs w:val="18"/>
              </w:rPr>
              <w:t>T DVAER 12</w:t>
            </w:r>
          </w:p>
        </w:tc>
        <w:tc>
          <w:tcPr>
            <w:tcW w:w="6763" w:type="dxa"/>
            <w:tcBorders>
              <w:top w:val="single" w:sz="2" w:space="0" w:color="00000A"/>
              <w:left w:val="single" w:sz="2" w:space="0" w:color="00000A"/>
              <w:bottom w:val="single" w:sz="2" w:space="0" w:color="00000A"/>
              <w:right w:val="single" w:sz="2" w:space="0" w:color="00000A"/>
            </w:tcBorders>
          </w:tcPr>
          <w:p>
            <w:pPr>
              <w:pStyle w:val="Paprtekstas"/>
              <w:spacing w:before="0" w:after="120"/>
              <w:ind w:hanging="0" w:right="0"/>
              <w:rPr>
                <w:color w:val="auto"/>
              </w:rPr>
            </w:pPr>
            <w:r>
              <w:rPr>
                <w:rFonts w:cs="Times New Roman"/>
                <w:color w:val="auto"/>
                <w:sz w:val="18"/>
                <w:szCs w:val="18"/>
              </w:rPr>
              <w:t>Automobilių kelių darbo vietų aptvėrimo ir eismo reguliavimo taisyklės</w:t>
            </w:r>
          </w:p>
        </w:tc>
      </w:tr>
      <w:tr>
        <w:trPr/>
        <w:tc>
          <w:tcPr>
            <w:tcW w:w="2620" w:type="dxa"/>
            <w:tcBorders>
              <w:left w:val="single" w:sz="2" w:space="0" w:color="00000A"/>
              <w:bottom w:val="single" w:sz="2" w:space="0" w:color="00000A"/>
            </w:tcBorders>
          </w:tcPr>
          <w:p>
            <w:pPr>
              <w:pStyle w:val="Paprtekstas"/>
              <w:spacing w:before="0" w:after="120"/>
              <w:ind w:hanging="0" w:right="0"/>
              <w:rPr>
                <w:color w:val="auto"/>
              </w:rPr>
            </w:pPr>
            <w:r>
              <w:rPr>
                <w:rFonts w:cs="Times New Roman"/>
                <w:color w:val="auto"/>
                <w:sz w:val="18"/>
                <w:szCs w:val="18"/>
              </w:rPr>
              <w:t>PĮT KŽA 08</w:t>
            </w:r>
          </w:p>
        </w:tc>
        <w:tc>
          <w:tcPr>
            <w:tcW w:w="6763" w:type="dxa"/>
            <w:tcBorders>
              <w:left w:val="single" w:sz="2" w:space="0" w:color="00000A"/>
              <w:bottom w:val="single" w:sz="2" w:space="0" w:color="00000A"/>
              <w:right w:val="single" w:sz="2" w:space="0" w:color="00000A"/>
            </w:tcBorders>
          </w:tcPr>
          <w:p>
            <w:pPr>
              <w:pStyle w:val="Paprtekstas"/>
              <w:spacing w:before="0" w:after="120"/>
              <w:ind w:hanging="0" w:right="0"/>
              <w:rPr>
                <w:color w:val="auto"/>
              </w:rPr>
            </w:pPr>
            <w:r>
              <w:rPr>
                <w:rFonts w:cs="Times New Roman"/>
                <w:color w:val="auto"/>
                <w:sz w:val="18"/>
                <w:szCs w:val="18"/>
              </w:rPr>
              <w:t>Kelio ženklų atramų parinkimo, projektavimo ir įrengimo taisyklės.</w:t>
            </w:r>
          </w:p>
        </w:tc>
      </w:tr>
    </w:tbl>
    <w:p>
      <w:pPr>
        <w:pStyle w:val="Normal"/>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r>
    </w:p>
    <w:p>
      <w:pPr>
        <w:pStyle w:val="Normal"/>
        <w:ind w:hanging="0" w:right="0"/>
        <w:rPr>
          <w:rFonts w:ascii="Times New Roman" w:hAnsi="Times New Roman" w:cs="Times New Roman"/>
          <w:b/>
          <w:bCs/>
          <w:color w:val="auto"/>
          <w:sz w:val="22"/>
          <w:szCs w:val="22"/>
        </w:rPr>
      </w:pPr>
      <w:r>
        <w:rPr>
          <w:rFonts w:cs="Times New Roman"/>
          <w:b/>
          <w:bCs/>
          <w:color w:val="auto"/>
          <w:sz w:val="22"/>
          <w:szCs w:val="22"/>
        </w:rPr>
      </w:r>
    </w:p>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r>
    </w:p>
    <w:p>
      <w:pPr>
        <w:pStyle w:val="Paprtekstas"/>
        <w:widowControl/>
        <w:suppressAutoHyphens w:val="true"/>
        <w:bidi w:val="0"/>
        <w:spacing w:lineRule="auto" w:line="276"/>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r>
    </w:p>
    <w:p>
      <w:pPr>
        <w:pStyle w:val="Paprtekstas"/>
        <w:widowControl/>
        <w:suppressAutoHyphens w:val="true"/>
        <w:bidi w:val="0"/>
        <w:spacing w:lineRule="auto" w:line="276" w:before="0" w:after="120"/>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r>
    </w:p>
    <w:sectPr>
      <w:headerReference w:type="even" r:id="rId133"/>
      <w:headerReference w:type="default" r:id="rId134"/>
      <w:headerReference w:type="first" r:id="rId135"/>
      <w:footerReference w:type="even" r:id="rId136"/>
      <w:footerReference w:type="default" r:id="rId137"/>
      <w:footerReference w:type="first" r:id="rId138"/>
      <w:type w:val="nextPage"/>
      <w:pgSz w:w="11906" w:h="16838"/>
      <w:pgMar w:left="1134" w:right="567" w:gutter="0" w:header="567" w:top="1590" w:footer="15" w:bottom="1134"/>
      <w:pgNumType w:fmt="decimal"/>
      <w:formProt w:val="false"/>
      <w:titlePg/>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ba"/>
    <w:family w:val="roman"/>
    <w:pitch w:val="variable"/>
  </w:font>
  <w:font w:name="Calibri">
    <w:charset w:val="ba"/>
    <w:family w:val="roman"/>
    <w:pitch w:val="variable"/>
  </w:font>
  <w:font w:name="Times New Roman">
    <w:charset w:val="ba"/>
    <w:family w:val="roman"/>
    <w:pitch w:val="variable"/>
  </w:font>
  <w:font w:name="Cambria">
    <w:charset w:val="ba"/>
    <w:family w:val="roman"/>
    <w:pitch w:val="variable"/>
  </w:font>
  <w:font w:name="Arial">
    <w:charset w:val="ba"/>
    <w:family w:val="swiss"/>
    <w:pitch w:val="variable"/>
  </w:font>
  <w:font w:name="Tahoma">
    <w:charset w:val="ba"/>
    <w:family w:val="swiss"/>
    <w:pitch w:val="variable"/>
  </w:font>
  <w:font w:name="ArialMT">
    <w:charset w:val="ba"/>
    <w:family w:val="swiss"/>
    <w:pitch w:val="variable"/>
  </w:font>
  <w:font w:name="Symbol">
    <w:charset w:val="ba"/>
    <w:family w:val="roman"/>
    <w:pitch w:val="variable"/>
  </w:font>
  <w:font w:name="OpenSymbol">
    <w:altName w:val="Arial Unicode MS"/>
    <w:charset w:val="ba"/>
    <w:family w:val="roman"/>
    <w:pitch w:val="variable"/>
  </w:font>
  <w:font w:name="Poppins Medium">
    <w:charset w:val="ba"/>
    <w:family w:val="roman"/>
    <w:pitch w:val="variable"/>
  </w:font>
  <w:font w:name="OpenSymbol">
    <w:altName w:val="Arial Unicode MS"/>
    <w:charset w:val="02"/>
    <w:family w:val="auto"/>
    <w:pitch w:val="default"/>
  </w:font>
  <w:font w:name="Liberation Sans">
    <w:altName w:val="Arial"/>
    <w:charset w:val="ba"/>
    <w:family w:val="swiss"/>
    <w:pitch w:val="variable"/>
  </w:font>
  <w:font w:name="Arial">
    <w:altName w:val="Helvetica"/>
    <w:charset w:val="ba"/>
    <w:family w:val="roman"/>
    <w:pitch w:val="variable"/>
  </w:font>
  <w:font w:name="Rial">
    <w:charset w:val="ba"/>
    <w:family w:val="roman"/>
    <w:pitch w:val="variable"/>
  </w:font>
  <w:font w:name="Arial\">
    <w:charset w:val="ba"/>
    <w:family w:val="swiss"/>
    <w:pitch w:val="variable"/>
  </w:font>
  <w:font w:name="Arial">
    <w:altName w:val="sans-serif"/>
    <w:charset w:val="ba"/>
    <w:family w:val="roman"/>
    <w:pitch w:val="variable"/>
  </w:font>
  <w:font w:name="Cambria Math">
    <w:charset w:val="ba"/>
    <w:family w:val="roman"/>
    <w:pitch w:val="variable"/>
  </w:font>
  <w:font w:name="VAG Rounded Std">
    <w:altName w:val="Arial"/>
    <w:charset w:val="ba"/>
    <w:family w:val="roman"/>
    <w:pitch w:val="variable"/>
  </w:font>
  <w:font w:name="Courier New">
    <w:charset w:val="01"/>
    <w:family w:val="modern"/>
    <w:pitch w:val="fixed"/>
  </w:font>
  <w:font w:name="Wingdings">
    <w:charset w:val="02"/>
    <w:family w:val="auto"/>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spacing w:before="0" w:after="200"/>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tbl>
    <w:tblPr>
      <w:tblW w:w="5101" w:type="dxa"/>
      <w:jc w:val="right"/>
      <w:tblInd w:w="0" w:type="dxa"/>
      <w:tblLayout w:type="fixed"/>
      <w:tblCellMar>
        <w:top w:w="0" w:type="dxa"/>
        <w:left w:w="108" w:type="dxa"/>
        <w:bottom w:w="0" w:type="dxa"/>
        <w:right w:w="108" w:type="dxa"/>
      </w:tblCellMar>
      <w:tblLook w:firstRow="1" w:noVBand="1" w:lastRow="0" w:firstColumn="1" w:lastColumn="0" w:noHBand="0" w:val="04a0"/>
    </w:tblPr>
    <w:tblGrid>
      <w:gridCol w:w="2850"/>
      <w:gridCol w:w="790"/>
      <w:gridCol w:w="734"/>
      <w:gridCol w:w="727"/>
    </w:tblGrid>
    <w:tr>
      <w:trPr>
        <w:trHeight w:val="283" w:hRule="atLeast"/>
      </w:trPr>
      <w:tc>
        <w:tcPr>
          <w:tcW w:w="2850" w:type="dxa"/>
          <w:vMerge w:val="restart"/>
          <w:tcBorders>
            <w:top w:val="single" w:sz="12" w:space="0" w:color="000000"/>
            <w:left w:val="single" w:sz="12" w:space="0" w:color="000000"/>
            <w:bottom w:val="single" w:sz="12" w:space="0" w:color="000000"/>
            <w:right w:val="single" w:sz="4" w:space="0" w:color="000000"/>
          </w:tcBorders>
          <w:shd w:color="auto" w:fill="auto" w:val="clear"/>
        </w:tcPr>
        <w:p>
          <w:pPr>
            <w:pStyle w:val="Tvarkingas"/>
            <w:spacing w:lineRule="auto" w:line="240" w:before="60" w:after="60"/>
            <w:ind w:hanging="0"/>
            <w:jc w:val="left"/>
            <w:rPr>
              <w:rFonts w:ascii="Arial" w:hAnsi="Arial" w:cs="Arial"/>
              <w:caps/>
              <w:sz w:val="16"/>
              <w:szCs w:val="16"/>
            </w:rPr>
          </w:pPr>
          <w:r>
            <w:rPr>
              <w:rFonts w:cs="Arial" w:ascii="Arial" w:hAnsi="Arial"/>
              <w:caps/>
              <w:sz w:val="16"/>
              <w:szCs w:val="16"/>
            </w:rPr>
            <w:t>Dokumento žymuo</w:t>
          </w:r>
        </w:p>
        <w:p>
          <w:pPr>
            <w:pStyle w:val="Tvarkingas"/>
            <w:spacing w:lineRule="auto" w:line="240" w:before="60" w:after="60"/>
            <w:ind w:hanging="0"/>
            <w:jc w:val="left"/>
            <w:rPr>
              <w:color w:val="auto"/>
              <w:highlight w:val="none"/>
              <w:shd w:fill="auto" w:val="clear"/>
            </w:rPr>
          </w:pPr>
          <w:r>
            <w:rPr>
              <w:rFonts w:cs="Arial" w:ascii="Arial" w:hAnsi="Arial"/>
              <w:color w:val="000000"/>
              <w:sz w:val="16"/>
              <w:szCs w:val="16"/>
              <w:shd w:fill="auto" w:val="clear"/>
            </w:rPr>
            <w:t>P22-037-KRTP-SP.TS</w:t>
          </w:r>
        </w:p>
      </w:tc>
      <w:tc>
        <w:tcPr>
          <w:tcW w:w="790" w:type="dxa"/>
          <w:tcBorders>
            <w:top w:val="single" w:sz="12" w:space="0" w:color="000000"/>
            <w:left w:val="single" w:sz="4" w:space="0" w:color="000000"/>
            <w:bottom w:val="single" w:sz="4" w:space="0" w:color="000000"/>
            <w:right w:val="single" w:sz="4" w:space="0" w:color="000000"/>
          </w:tcBorders>
          <w:shd w:color="auto" w:fill="auto" w:val="clear"/>
          <w:vAlign w:val="center"/>
        </w:tcPr>
        <w:p>
          <w:pPr>
            <w:pStyle w:val="Tvarkingas"/>
            <w:spacing w:lineRule="auto" w:line="240" w:before="60" w:after="60"/>
            <w:ind w:hanging="0"/>
            <w:jc w:val="center"/>
            <w:rPr>
              <w:rFonts w:ascii="Arial" w:hAnsi="Arial" w:cs="Arial"/>
              <w:caps/>
              <w:sz w:val="16"/>
              <w:szCs w:val="16"/>
            </w:rPr>
          </w:pPr>
          <w:r>
            <w:rPr>
              <w:rFonts w:cs="Arial" w:ascii="Arial" w:hAnsi="Arial"/>
              <w:caps/>
              <w:sz w:val="16"/>
              <w:szCs w:val="16"/>
            </w:rPr>
            <w:t>Lapas</w:t>
          </w:r>
        </w:p>
      </w:tc>
      <w:tc>
        <w:tcPr>
          <w:tcW w:w="734" w:type="dxa"/>
          <w:tcBorders>
            <w:top w:val="single" w:sz="12" w:space="0" w:color="000000"/>
            <w:left w:val="single" w:sz="4" w:space="0" w:color="000000"/>
            <w:bottom w:val="single" w:sz="4" w:space="0" w:color="000000"/>
            <w:right w:val="single" w:sz="4" w:space="0" w:color="000000"/>
          </w:tcBorders>
          <w:shd w:color="auto" w:fill="auto" w:val="clear"/>
          <w:vAlign w:val="center"/>
        </w:tcPr>
        <w:p>
          <w:pPr>
            <w:pStyle w:val="Tvarkingas"/>
            <w:spacing w:lineRule="auto" w:line="240" w:before="60" w:after="60"/>
            <w:ind w:hanging="0"/>
            <w:jc w:val="center"/>
            <w:rPr>
              <w:rFonts w:ascii="Arial" w:hAnsi="Arial" w:cs="Arial"/>
              <w:caps/>
              <w:sz w:val="16"/>
              <w:szCs w:val="16"/>
            </w:rPr>
          </w:pPr>
          <w:r>
            <w:rPr>
              <w:rFonts w:cs="Arial" w:ascii="Arial" w:hAnsi="Arial"/>
              <w:caps/>
              <w:sz w:val="16"/>
              <w:szCs w:val="16"/>
            </w:rPr>
            <w:t>Lapų</w:t>
          </w:r>
        </w:p>
      </w:tc>
      <w:tc>
        <w:tcPr>
          <w:tcW w:w="727" w:type="dxa"/>
          <w:tcBorders>
            <w:top w:val="single" w:sz="12" w:space="0" w:color="000000"/>
            <w:left w:val="single" w:sz="4" w:space="0" w:color="000000"/>
            <w:bottom w:val="single" w:sz="4" w:space="0" w:color="000000"/>
            <w:right w:val="single" w:sz="12" w:space="0" w:color="000000"/>
          </w:tcBorders>
          <w:shd w:color="auto" w:fill="auto" w:val="clear"/>
          <w:vAlign w:val="center"/>
        </w:tcPr>
        <w:p>
          <w:pPr>
            <w:pStyle w:val="Tvarkingas"/>
            <w:spacing w:lineRule="auto" w:line="240" w:before="60" w:after="60"/>
            <w:ind w:hanging="0"/>
            <w:jc w:val="center"/>
            <w:rPr>
              <w:rFonts w:ascii="Arial" w:hAnsi="Arial" w:cs="Arial"/>
              <w:caps/>
              <w:sz w:val="16"/>
              <w:szCs w:val="16"/>
            </w:rPr>
          </w:pPr>
          <w:r>
            <w:rPr>
              <w:rFonts w:cs="Arial" w:ascii="Arial" w:hAnsi="Arial"/>
              <w:caps/>
              <w:sz w:val="16"/>
              <w:szCs w:val="16"/>
            </w:rPr>
            <w:t>Laida</w:t>
          </w:r>
        </w:p>
      </w:tc>
    </w:tr>
    <w:tr>
      <w:trPr>
        <w:trHeight w:val="288" w:hRule="atLeast"/>
      </w:trPr>
      <w:tc>
        <w:tcPr>
          <w:tcW w:w="2850" w:type="dxa"/>
          <w:vMerge w:val="continue"/>
          <w:tcBorders>
            <w:top w:val="single" w:sz="4" w:space="0" w:color="000000"/>
            <w:left w:val="single" w:sz="12" w:space="0" w:color="000000"/>
            <w:bottom w:val="single" w:sz="12" w:space="0" w:color="000000"/>
            <w:right w:val="single" w:sz="4" w:space="0" w:color="000000"/>
          </w:tcBorders>
          <w:shd w:color="auto" w:fill="auto" w:val="clear"/>
        </w:tcPr>
        <w:p>
          <w:pPr>
            <w:pStyle w:val="Tvarkingas"/>
            <w:spacing w:lineRule="auto" w:line="276" w:before="0" w:after="200"/>
            <w:ind w:hanging="0"/>
            <w:rPr>
              <w:rFonts w:ascii="Arial" w:hAnsi="Arial" w:cs="Arial"/>
              <w:sz w:val="16"/>
              <w:szCs w:val="16"/>
            </w:rPr>
          </w:pPr>
          <w:r>
            <w:rPr>
              <w:rFonts w:cs="Arial" w:ascii="Arial" w:hAnsi="Arial"/>
              <w:sz w:val="16"/>
              <w:szCs w:val="16"/>
            </w:rPr>
          </w:r>
        </w:p>
      </w:tc>
      <w:tc>
        <w:tcPr>
          <w:tcW w:w="790" w:type="dxa"/>
          <w:tcBorders>
            <w:top w:val="single" w:sz="4" w:space="0" w:color="000000"/>
            <w:left w:val="single" w:sz="4" w:space="0" w:color="000000"/>
            <w:bottom w:val="single" w:sz="12" w:space="0" w:color="000000"/>
            <w:right w:val="single" w:sz="4" w:space="0" w:color="000000"/>
          </w:tcBorders>
          <w:shd w:color="auto" w:fill="auto" w:val="clear"/>
          <w:vAlign w:val="center"/>
        </w:tcPr>
        <w:p>
          <w:pPr>
            <w:pStyle w:val="Tvarkingas"/>
            <w:spacing w:lineRule="auto" w:line="240" w:before="60" w:after="60"/>
            <w:ind w:hanging="0"/>
            <w:jc w:val="center"/>
            <w:rPr>
              <w:rFonts w:ascii="Arial" w:hAnsi="Arial"/>
              <w:sz w:val="20"/>
              <w:szCs w:val="20"/>
            </w:rPr>
          </w:pPr>
          <w:r>
            <w:rPr>
              <w:rFonts w:ascii="Arial" w:hAnsi="Arial"/>
              <w:sz w:val="20"/>
              <w:szCs w:val="20"/>
            </w:rPr>
            <w:fldChar w:fldCharType="begin"/>
          </w:r>
          <w:r>
            <w:rPr>
              <w:sz w:val="20"/>
              <w:szCs w:val="20"/>
              <w:rFonts w:ascii="Arial" w:hAnsi="Arial"/>
            </w:rPr>
            <w:instrText xml:space="preserve"> PAGE </w:instrText>
          </w:r>
          <w:r>
            <w:rPr>
              <w:sz w:val="20"/>
              <w:szCs w:val="20"/>
              <w:rFonts w:ascii="Arial" w:hAnsi="Arial"/>
            </w:rPr>
            <w:fldChar w:fldCharType="separate"/>
          </w:r>
          <w:r>
            <w:rPr>
              <w:sz w:val="20"/>
              <w:szCs w:val="20"/>
              <w:rFonts w:ascii="Arial" w:hAnsi="Arial"/>
            </w:rPr>
            <w:t>10</w:t>
          </w:r>
          <w:r>
            <w:rPr>
              <w:sz w:val="20"/>
              <w:szCs w:val="20"/>
              <w:rFonts w:ascii="Arial" w:hAnsi="Arial"/>
            </w:rPr>
            <w:fldChar w:fldCharType="end"/>
          </w:r>
        </w:p>
      </w:tc>
      <w:tc>
        <w:tcPr>
          <w:tcW w:w="734" w:type="dxa"/>
          <w:tcBorders>
            <w:top w:val="single" w:sz="4" w:space="0" w:color="000000"/>
            <w:left w:val="single" w:sz="4" w:space="0" w:color="000000"/>
            <w:bottom w:val="single" w:sz="12" w:space="0" w:color="000000"/>
            <w:right w:val="single" w:sz="4" w:space="0" w:color="000000"/>
          </w:tcBorders>
          <w:shd w:color="auto" w:fill="auto" w:val="clear"/>
          <w:vAlign w:val="center"/>
        </w:tcPr>
        <w:p>
          <w:pPr>
            <w:pStyle w:val="Tvarkingas"/>
            <w:spacing w:lineRule="auto" w:line="240" w:before="60" w:after="60"/>
            <w:ind w:hanging="0"/>
            <w:jc w:val="center"/>
            <w:rPr>
              <w:rFonts w:ascii="Arial" w:hAnsi="Arial"/>
              <w:sz w:val="20"/>
              <w:szCs w:val="20"/>
            </w:rPr>
          </w:pPr>
          <w:r>
            <w:rPr>
              <w:rFonts w:ascii="Arial" w:hAnsi="Arial"/>
              <w:sz w:val="20"/>
              <w:szCs w:val="20"/>
            </w:rPr>
            <w:fldChar w:fldCharType="begin"/>
          </w:r>
          <w:r>
            <w:rPr>
              <w:sz w:val="20"/>
              <w:szCs w:val="20"/>
              <w:rFonts w:ascii="Arial" w:hAnsi="Arial"/>
            </w:rPr>
            <w:instrText xml:space="preserve"> NUMPAGES </w:instrText>
          </w:r>
          <w:r>
            <w:rPr>
              <w:sz w:val="20"/>
              <w:szCs w:val="20"/>
              <w:rFonts w:ascii="Arial" w:hAnsi="Arial"/>
            </w:rPr>
            <w:fldChar w:fldCharType="separate"/>
          </w:r>
          <w:r>
            <w:rPr>
              <w:sz w:val="20"/>
              <w:szCs w:val="20"/>
              <w:rFonts w:ascii="Arial" w:hAnsi="Arial"/>
            </w:rPr>
            <w:t>77</w:t>
          </w:r>
          <w:r>
            <w:rPr>
              <w:sz w:val="20"/>
              <w:szCs w:val="20"/>
              <w:rFonts w:ascii="Arial" w:hAnsi="Arial"/>
            </w:rPr>
            <w:fldChar w:fldCharType="end"/>
          </w:r>
        </w:p>
      </w:tc>
      <w:tc>
        <w:tcPr>
          <w:tcW w:w="727" w:type="dxa"/>
          <w:tcBorders>
            <w:top w:val="single" w:sz="4" w:space="0" w:color="000000"/>
            <w:left w:val="single" w:sz="4" w:space="0" w:color="000000"/>
            <w:bottom w:val="single" w:sz="12" w:space="0" w:color="000000"/>
            <w:right w:val="single" w:sz="12" w:space="0" w:color="000000"/>
          </w:tcBorders>
          <w:shd w:color="auto" w:fill="auto" w:val="clear"/>
          <w:vAlign w:val="center"/>
        </w:tcPr>
        <w:p>
          <w:pPr>
            <w:pStyle w:val="Tvarkingas"/>
            <w:spacing w:lineRule="auto" w:line="240" w:before="60" w:after="60"/>
            <w:ind w:hanging="0"/>
            <w:jc w:val="center"/>
            <w:rPr>
              <w:rFonts w:ascii="Arial" w:hAnsi="Arial" w:cs="Arial"/>
              <w:sz w:val="16"/>
              <w:szCs w:val="16"/>
            </w:rPr>
          </w:pPr>
          <w:r>
            <w:rPr>
              <w:rFonts w:cs="Arial" w:ascii="Arial" w:hAnsi="Arial"/>
              <w:sz w:val="16"/>
              <w:szCs w:val="16"/>
            </w:rPr>
            <w:t>0</w:t>
          </w:r>
        </w:p>
      </w:tc>
    </w:tr>
  </w:tbl>
  <w:p>
    <w:pPr>
      <w:pStyle w:val="Paprtekstas"/>
      <w:widowControl/>
      <w:suppressAutoHyphens w:val="true"/>
      <w:bidi w:val="0"/>
      <w:spacing w:lineRule="auto" w:line="276" w:before="0" w:after="120"/>
      <w:rPr>
        <w:rFonts w:eastAsia="Times New Roman" w:cs="Times New Roman"/>
        <w:color w:val="auto"/>
        <w:kern w:val="0"/>
        <w:szCs w:val="24"/>
        <w:lang w:val="lt-LT" w:eastAsia="en-US" w:bidi="ar-SA"/>
      </w:rPr>
    </w:pPr>
    <w:r>
      <w:rPr>
        <w:rFonts w:eastAsia="Times New Roman" w:cs="Times New Roman"/>
        <w:color w:val="auto"/>
        <w:kern w:val="0"/>
        <w:szCs w:val="24"/>
        <w:lang w:val="lt-LT" w:eastAsia="en-US" w:bidi="ar-SA"/>
      </w:rPr>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tbl>
    <w:tblPr>
      <w:tblStyle w:val="TableGrid"/>
      <w:tblW w:w="10200"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790"/>
      <w:gridCol w:w="1078"/>
      <w:gridCol w:w="2228"/>
      <w:gridCol w:w="948"/>
      <w:gridCol w:w="3615"/>
      <w:gridCol w:w="768"/>
      <w:gridCol w:w="773"/>
    </w:tblGrid>
    <w:tr>
      <w:trPr>
        <w:trHeight w:val="288" w:hRule="atLeast"/>
      </w:trPr>
      <w:tc>
        <w:tcPr>
          <w:tcW w:w="790" w:type="dxa"/>
          <w:tcBorders>
            <w:top w:val="single" w:sz="12" w:space="0" w:color="000000"/>
            <w:left w:val="single" w:sz="12" w:space="0" w:color="000000"/>
            <w:bottom w:val="single" w:sz="8" w:space="0" w:color="000000"/>
            <w:right w:val="single" w:sz="8" w:space="0" w:color="000000"/>
          </w:tcBorders>
          <w:vAlign w:val="center"/>
        </w:tcPr>
        <w:p>
          <w:pPr>
            <w:pStyle w:val="Tvarkingas"/>
            <w:widowControl/>
            <w:suppressAutoHyphens w:val="true"/>
            <w:spacing w:lineRule="auto" w:line="240" w:before="60" w:after="60"/>
            <w:ind w:hanging="0"/>
            <w:jc w:val="left"/>
            <w:rPr>
              <w:rFonts w:ascii="Arial" w:hAnsi="Arial" w:cs="Arial"/>
              <w:sz w:val="16"/>
              <w:szCs w:val="16"/>
              <w:lang w:val="lt-LT"/>
            </w:rPr>
          </w:pPr>
          <w:r>
            <w:rPr>
              <w:rFonts w:eastAsia="Calibri" w:cs="Arial" w:ascii="Arial" w:hAnsi="Arial"/>
              <w:kern w:val="0"/>
              <w:sz w:val="16"/>
              <w:szCs w:val="16"/>
              <w:lang w:val="lt-LT" w:eastAsia="en-US" w:bidi="ar-SA"/>
            </w:rPr>
            <w:t>0</w:t>
          </w:r>
        </w:p>
      </w:tc>
      <w:tc>
        <w:tcPr>
          <w:tcW w:w="4254" w:type="dxa"/>
          <w:gridSpan w:val="3"/>
          <w:tcBorders>
            <w:top w:val="single" w:sz="12" w:space="0" w:color="000000"/>
            <w:left w:val="single" w:sz="8" w:space="0" w:color="000000"/>
            <w:bottom w:val="single" w:sz="8" w:space="0" w:color="000000"/>
            <w:right w:val="single" w:sz="12" w:space="0" w:color="000000"/>
          </w:tcBorders>
          <w:vAlign w:val="center"/>
        </w:tcPr>
        <w:p>
          <w:pPr>
            <w:pStyle w:val="Tvarkingas"/>
            <w:widowControl/>
            <w:suppressAutoHyphens w:val="true"/>
            <w:spacing w:lineRule="auto" w:line="240" w:before="60" w:after="60"/>
            <w:ind w:hanging="0"/>
            <w:jc w:val="left"/>
            <w:rPr>
              <w:rFonts w:ascii="Arial" w:hAnsi="Arial" w:cs="Arial"/>
              <w:sz w:val="16"/>
              <w:szCs w:val="16"/>
              <w:lang w:val="lt-LT"/>
            </w:rPr>
          </w:pPr>
          <w:r>
            <w:rPr>
              <w:rFonts w:eastAsia="Calibri" w:cs="Arial" w:ascii="Arial" w:hAnsi="Arial"/>
              <w:kern w:val="0"/>
              <w:sz w:val="16"/>
              <w:szCs w:val="16"/>
              <w:lang w:val="lt-LT" w:eastAsia="en-US" w:bidi="ar-SA"/>
            </w:rPr>
            <w:t>2024-09</w:t>
          </w:r>
        </w:p>
      </w:tc>
      <w:tc>
        <w:tcPr>
          <w:tcW w:w="5156" w:type="dxa"/>
          <w:gridSpan w:val="3"/>
          <w:tcBorders>
            <w:top w:val="single" w:sz="12" w:space="0" w:color="000000"/>
            <w:left w:val="single" w:sz="12" w:space="0" w:color="000000"/>
            <w:bottom w:val="single" w:sz="8" w:space="0" w:color="000000"/>
            <w:right w:val="single" w:sz="12" w:space="0" w:color="000000"/>
          </w:tcBorders>
          <w:vAlign w:val="center"/>
        </w:tcPr>
        <w:p>
          <w:pPr>
            <w:pStyle w:val="Tvarkingas"/>
            <w:widowControl/>
            <w:suppressAutoHyphens w:val="true"/>
            <w:spacing w:lineRule="auto" w:line="240" w:before="60" w:after="60"/>
            <w:ind w:hanging="0"/>
            <w:jc w:val="left"/>
            <w:rPr>
              <w:rFonts w:ascii="Arial" w:hAnsi="Arial" w:cs="Arial"/>
              <w:sz w:val="16"/>
              <w:szCs w:val="16"/>
              <w:lang w:val="lt-LT"/>
            </w:rPr>
          </w:pPr>
          <w:r>
            <w:rPr>
              <w:rFonts w:eastAsia="Calibri" w:cs="Arial" w:ascii="Arial" w:hAnsi="Arial"/>
              <w:kern w:val="0"/>
              <w:sz w:val="16"/>
              <w:szCs w:val="16"/>
              <w:lang w:val="lt-LT" w:eastAsia="en-US" w:bidi="ar-SA"/>
            </w:rPr>
            <w:t>Statybą leidžiančiam dokumentui, konkursui</w:t>
          </w:r>
        </w:p>
      </w:tc>
    </w:tr>
    <w:tr>
      <w:trPr>
        <w:trHeight w:val="80" w:hRule="atLeast"/>
      </w:trPr>
      <w:tc>
        <w:tcPr>
          <w:tcW w:w="790" w:type="dxa"/>
          <w:tcBorders>
            <w:top w:val="single" w:sz="8" w:space="0" w:color="000000"/>
            <w:left w:val="single" w:sz="12" w:space="0" w:color="000000"/>
            <w:bottom w:val="single" w:sz="12" w:space="0" w:color="000000"/>
            <w:right w:val="single" w:sz="8" w:space="0" w:color="000000"/>
          </w:tcBorders>
          <w:vAlign w:val="center"/>
        </w:tcPr>
        <w:p>
          <w:pPr>
            <w:pStyle w:val="Tvarkingas"/>
            <w:widowControl/>
            <w:suppressAutoHyphens w:val="true"/>
            <w:spacing w:lineRule="auto" w:line="240" w:before="60" w:after="60"/>
            <w:ind w:hanging="0"/>
            <w:jc w:val="left"/>
            <w:rPr>
              <w:rFonts w:ascii="Arial" w:hAnsi="Arial" w:cs="Arial"/>
              <w:sz w:val="16"/>
              <w:szCs w:val="16"/>
              <w:lang w:val="lt-LT"/>
            </w:rPr>
          </w:pPr>
          <w:r>
            <w:rPr>
              <w:rFonts w:eastAsia="Calibri" w:cs="Arial" w:ascii="Arial" w:hAnsi="Arial"/>
              <w:kern w:val="0"/>
              <w:sz w:val="16"/>
              <w:szCs w:val="16"/>
              <w:lang w:val="lt-LT" w:eastAsia="en-US" w:bidi="ar-SA"/>
            </w:rPr>
            <w:t>LAIDA</w:t>
          </w:r>
        </w:p>
      </w:tc>
      <w:tc>
        <w:tcPr>
          <w:tcW w:w="4254" w:type="dxa"/>
          <w:gridSpan w:val="3"/>
          <w:tcBorders>
            <w:top w:val="single" w:sz="8" w:space="0" w:color="000000"/>
            <w:left w:val="single" w:sz="8" w:space="0" w:color="000000"/>
            <w:bottom w:val="single" w:sz="12" w:space="0" w:color="000000"/>
            <w:right w:val="single" w:sz="12" w:space="0" w:color="000000"/>
          </w:tcBorders>
          <w:vAlign w:val="center"/>
        </w:tcPr>
        <w:p>
          <w:pPr>
            <w:pStyle w:val="Tvarkingas"/>
            <w:widowControl/>
            <w:suppressAutoHyphens w:val="true"/>
            <w:spacing w:lineRule="auto" w:line="240" w:before="60" w:after="60"/>
            <w:ind w:hanging="0"/>
            <w:jc w:val="left"/>
            <w:rPr>
              <w:rFonts w:ascii="Arial" w:hAnsi="Arial" w:cs="Arial"/>
              <w:sz w:val="16"/>
              <w:szCs w:val="16"/>
              <w:lang w:val="lt-LT"/>
            </w:rPr>
          </w:pPr>
          <w:r>
            <w:rPr>
              <w:rFonts w:eastAsia="Calibri" w:cs="Arial" w:ascii="Arial" w:hAnsi="Arial"/>
              <w:kern w:val="0"/>
              <w:sz w:val="16"/>
              <w:szCs w:val="16"/>
              <w:lang w:val="lt-LT" w:eastAsia="en-US" w:bidi="ar-SA"/>
            </w:rPr>
            <w:t>IŠLEIDIMO DATA</w:t>
          </w:r>
        </w:p>
      </w:tc>
      <w:tc>
        <w:tcPr>
          <w:tcW w:w="5156" w:type="dxa"/>
          <w:gridSpan w:val="3"/>
          <w:tcBorders>
            <w:top w:val="single" w:sz="8" w:space="0" w:color="000000"/>
            <w:left w:val="single" w:sz="12" w:space="0" w:color="000000"/>
            <w:bottom w:val="single" w:sz="12" w:space="0" w:color="000000"/>
            <w:right w:val="single" w:sz="12" w:space="0" w:color="000000"/>
          </w:tcBorders>
          <w:vAlign w:val="center"/>
        </w:tcPr>
        <w:p>
          <w:pPr>
            <w:pStyle w:val="Normal"/>
            <w:widowControl/>
            <w:suppressAutoHyphens w:val="true"/>
            <w:spacing w:lineRule="auto" w:line="240" w:before="0" w:after="0"/>
            <w:jc w:val="left"/>
            <w:rPr>
              <w:lang w:val="lt-LT"/>
            </w:rPr>
          </w:pPr>
          <w:r>
            <w:rPr>
              <w:rFonts w:eastAsia="Calibri" w:cs="Arial" w:ascii="Arial" w:hAnsi="Arial"/>
              <w:kern w:val="0"/>
              <w:sz w:val="16"/>
              <w:szCs w:val="16"/>
              <w:lang w:val="lt-LT" w:eastAsia="en-US" w:bidi="ar-SA"/>
            </w:rPr>
            <w:t>LAIDOS STATUSAS. KEITIMO PRIEŽASTIS (JEI TAIKOMA)</w:t>
          </w:r>
        </w:p>
      </w:tc>
    </w:tr>
    <w:tr>
      <w:trPr>
        <w:trHeight w:val="850" w:hRule="atLeast"/>
      </w:trPr>
      <w:tc>
        <w:tcPr>
          <w:tcW w:w="790" w:type="dxa"/>
          <w:tcBorders>
            <w:top w:val="single" w:sz="12" w:space="0" w:color="000000"/>
            <w:left w:val="single" w:sz="12" w:space="0" w:color="000000"/>
            <w:right w:val="single" w:sz="8" w:space="0" w:color="000000"/>
          </w:tcBorders>
        </w:tcPr>
        <w:p>
          <w:pPr>
            <w:pStyle w:val="Tvarkingas"/>
            <w:widowControl/>
            <w:suppressAutoHyphens w:val="true"/>
            <w:spacing w:lineRule="auto" w:line="240" w:before="60" w:after="60"/>
            <w:ind w:hanging="0"/>
            <w:jc w:val="left"/>
            <w:rPr>
              <w:rFonts w:ascii="Arial" w:hAnsi="Arial" w:cs="Arial"/>
              <w:color w:val="0070C0"/>
              <w:sz w:val="16"/>
              <w:szCs w:val="16"/>
              <w:lang w:val="lt-LT"/>
            </w:rPr>
          </w:pPr>
          <w:r>
            <w:rPr>
              <w:rFonts w:eastAsia="Calibri" w:cs="Arial" w:ascii="Arial" w:hAnsi="Arial"/>
              <w:kern w:val="0"/>
              <w:sz w:val="16"/>
              <w:szCs w:val="16"/>
              <w:lang w:val="lt-LT" w:eastAsia="en-US" w:bidi="ar-SA"/>
            </w:rPr>
            <w:t>KVAL. PATV. DOK. NR.</w:t>
          </w:r>
        </w:p>
      </w:tc>
      <w:tc>
        <w:tcPr>
          <w:tcW w:w="4254" w:type="dxa"/>
          <w:gridSpan w:val="3"/>
          <w:tcBorders>
            <w:top w:val="single" w:sz="12" w:space="0" w:color="000000"/>
            <w:left w:val="single" w:sz="8" w:space="0" w:color="000000"/>
            <w:right w:val="single" w:sz="12" w:space="0" w:color="000000"/>
          </w:tcBorders>
        </w:tcPr>
        <w:p>
          <w:pPr>
            <w:pStyle w:val="Tvarkingas"/>
            <w:widowControl/>
            <w:suppressAutoHyphens w:val="true"/>
            <w:spacing w:lineRule="auto" w:line="240" w:before="60" w:after="60"/>
            <w:ind w:hanging="0"/>
            <w:jc w:val="left"/>
            <w:rPr>
              <w:rFonts w:ascii="Arial" w:hAnsi="Arial" w:cs="Arial"/>
              <w:sz w:val="16"/>
              <w:szCs w:val="16"/>
              <w:lang w:val="lt-LT"/>
            </w:rPr>
          </w:pPr>
          <w:r>
            <w:drawing>
              <wp:anchor behindDoc="1" distT="0" distB="0" distL="0" distR="0" simplePos="0" locked="0" layoutInCell="1" allowOverlap="1" relativeHeight="2">
                <wp:simplePos x="0" y="0"/>
                <wp:positionH relativeFrom="column">
                  <wp:posOffset>1270635</wp:posOffset>
                </wp:positionH>
                <wp:positionV relativeFrom="paragraph">
                  <wp:posOffset>38735</wp:posOffset>
                </wp:positionV>
                <wp:extent cx="1133475" cy="474345"/>
                <wp:effectExtent l="0" t="0" r="0" b="0"/>
                <wp:wrapNone/>
                <wp:docPr id="140" name="Paveikslėlis 1556333934"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aveikslėlis 1556333934" descr="A black background with white text&#10;&#10;Description automatically generated"/>
                        <pic:cNvPicPr>
                          <a:picLocks noChangeAspect="1" noChangeArrowheads="1"/>
                        </pic:cNvPicPr>
                      </pic:nvPicPr>
                      <pic:blipFill>
                        <a:blip r:embed="rId1"/>
                        <a:stretch>
                          <a:fillRect/>
                        </a:stretch>
                      </pic:blipFill>
                      <pic:spPr bwMode="auto">
                        <a:xfrm>
                          <a:off x="0" y="0"/>
                          <a:ext cx="1133475" cy="474345"/>
                        </a:xfrm>
                        <a:prstGeom prst="rect">
                          <a:avLst/>
                        </a:prstGeom>
                        <a:noFill/>
                      </pic:spPr>
                    </pic:pic>
                  </a:graphicData>
                </a:graphic>
              </wp:anchor>
            </w:drawing>
          </w:r>
          <w:r>
            <w:rPr>
              <w:rFonts w:eastAsia="Calibri" w:cs="Arial" w:ascii="Arial" w:hAnsi="Arial"/>
              <w:kern w:val="0"/>
              <w:sz w:val="16"/>
              <w:szCs w:val="16"/>
              <w:lang w:val="lt-LT" w:eastAsia="en-US" w:bidi="ar-SA"/>
            </w:rPr>
            <w:t>PROJEKTUOTOJAS</w:t>
          </w:r>
        </w:p>
        <w:p>
          <w:pPr>
            <w:pStyle w:val="Tvarkingas"/>
            <w:widowControl/>
            <w:suppressAutoHyphens w:val="true"/>
            <w:spacing w:lineRule="auto" w:line="240" w:before="60" w:after="60"/>
            <w:ind w:hanging="0"/>
            <w:jc w:val="left"/>
            <w:rPr>
              <w:rFonts w:ascii="Arial" w:hAnsi="Arial" w:cs="Arial"/>
              <w:color w:val="0070C0"/>
              <w:sz w:val="16"/>
              <w:szCs w:val="16"/>
              <w:lang w:val="lt-LT"/>
            </w:rPr>
          </w:pPr>
          <w:r>
            <w:rPr>
              <w:rFonts w:eastAsia="Calibri" w:cs="Arial" w:ascii="Arial" w:hAnsi="Arial"/>
              <w:kern w:val="0"/>
              <w:sz w:val="16"/>
              <w:szCs w:val="16"/>
              <w:lang w:val="lt-LT" w:eastAsia="en-US" w:bidi="ar-SA"/>
            </w:rPr>
            <w:t>UAB „SRP Projektas“</w:t>
          </w:r>
        </w:p>
      </w:tc>
      <w:tc>
        <w:tcPr>
          <w:tcW w:w="5156" w:type="dxa"/>
          <w:gridSpan w:val="3"/>
          <w:vMerge w:val="restart"/>
          <w:tcBorders>
            <w:top w:val="single" w:sz="12" w:space="0" w:color="000000"/>
            <w:left w:val="single" w:sz="12" w:space="0" w:color="000000"/>
            <w:bottom w:val="single" w:sz="8" w:space="0" w:color="000000"/>
            <w:right w:val="single" w:sz="12" w:space="0" w:color="000000"/>
          </w:tcBorders>
        </w:tcPr>
        <w:p>
          <w:pPr>
            <w:pStyle w:val="Tvarkingas"/>
            <w:widowControl/>
            <w:suppressAutoHyphens w:val="true"/>
            <w:spacing w:lineRule="auto" w:line="240" w:before="60" w:after="60"/>
            <w:ind w:hanging="0"/>
            <w:jc w:val="left"/>
            <w:rPr>
              <w:rFonts w:ascii="Arial" w:hAnsi="Arial" w:cs="Arial"/>
              <w:caps/>
              <w:sz w:val="16"/>
              <w:szCs w:val="16"/>
              <w:lang w:val="lt-LT"/>
            </w:rPr>
          </w:pPr>
          <w:r>
            <w:rPr>
              <w:rFonts w:eastAsia="Calibri" w:cs="Arial" w:ascii="Arial" w:hAnsi="Arial"/>
              <w:caps/>
              <w:kern w:val="0"/>
              <w:sz w:val="16"/>
              <w:szCs w:val="16"/>
              <w:lang w:val="lt-LT" w:eastAsia="en-US" w:bidi="ar-SA"/>
            </w:rPr>
            <w:t>Statinio projekto pavadinimas</w:t>
          </w:r>
        </w:p>
        <w:p>
          <w:pPr>
            <w:pStyle w:val="Tvarkingas"/>
            <w:widowControl/>
            <w:suppressAutoHyphens w:val="true"/>
            <w:spacing w:lineRule="auto" w:line="240" w:before="60" w:after="60"/>
            <w:ind w:hanging="0"/>
            <w:rPr>
              <w:rFonts w:ascii="Arial" w:hAnsi="Arial" w:cs="Arial"/>
              <w:caps/>
              <w:sz w:val="16"/>
              <w:szCs w:val="16"/>
              <w:lang w:val="lt-LT"/>
            </w:rPr>
          </w:pPr>
          <w:r>
            <w:rPr>
              <w:rFonts w:eastAsia="Calibri" w:cs="Arial" w:ascii="Arial" w:hAnsi="Arial"/>
              <w:kern w:val="0"/>
              <w:sz w:val="16"/>
              <w:szCs w:val="16"/>
              <w:lang w:val="lt-LT" w:eastAsia="en-US" w:bidi="ar-SA"/>
            </w:rPr>
            <w:t>Vasaros koncertų estrados ir jos teritorijos, Liepojos g. 1, Klaipėdoje, kapitalinio remonto projektas</w:t>
          </w:r>
        </w:p>
      </w:tc>
    </w:tr>
    <w:tr>
      <w:trPr>
        <w:trHeight w:val="301" w:hRule="atLeast"/>
      </w:trPr>
      <w:tc>
        <w:tcPr>
          <w:tcW w:w="790" w:type="dxa"/>
          <w:tcBorders>
            <w:left w:val="single" w:sz="12" w:space="0" w:color="000000"/>
            <w:bottom w:val="single" w:sz="8" w:space="0" w:color="000000"/>
            <w:right w:val="single" w:sz="8" w:space="0" w:color="000000"/>
          </w:tcBorders>
          <w:vAlign w:val="center"/>
        </w:tcPr>
        <w:p>
          <w:pPr>
            <w:pStyle w:val="Tvarkingas"/>
            <w:widowControl/>
            <w:suppressAutoHyphens w:val="true"/>
            <w:spacing w:lineRule="auto" w:line="240" w:before="60" w:after="60"/>
            <w:ind w:hanging="0"/>
            <w:jc w:val="left"/>
            <w:rPr>
              <w:rFonts w:ascii="Arial" w:hAnsi="Arial" w:cs="Arial"/>
              <w:sz w:val="16"/>
              <w:szCs w:val="16"/>
              <w:lang w:val="lt-LT"/>
            </w:rPr>
          </w:pPr>
          <w:r>
            <w:drawing>
              <wp:anchor behindDoc="1" distT="0" distB="0" distL="0" distR="0" simplePos="0" locked="0" layoutInCell="0" allowOverlap="1" relativeHeight="80">
                <wp:simplePos x="0" y="0"/>
                <wp:positionH relativeFrom="margin">
                  <wp:posOffset>2447925</wp:posOffset>
                </wp:positionH>
                <wp:positionV relativeFrom="paragraph">
                  <wp:posOffset>-43815</wp:posOffset>
                </wp:positionV>
                <wp:extent cx="676910" cy="228600"/>
                <wp:effectExtent l="0" t="0" r="0" b="0"/>
                <wp:wrapSquare wrapText="largest"/>
                <wp:docPr id="141"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Image1"/>
                        <pic:cNvPicPr>
                          <a:picLocks noChangeAspect="1" noChangeArrowheads="1"/>
                        </pic:cNvPicPr>
                      </pic:nvPicPr>
                      <pic:blipFill>
                        <a:blip r:embed="rId2"/>
                        <a:stretch>
                          <a:fillRect/>
                        </a:stretch>
                      </pic:blipFill>
                      <pic:spPr bwMode="auto">
                        <a:xfrm>
                          <a:off x="0" y="0"/>
                          <a:ext cx="676910" cy="228600"/>
                        </a:xfrm>
                        <a:prstGeom prst="rect">
                          <a:avLst/>
                        </a:prstGeom>
                        <a:noFill/>
                      </pic:spPr>
                    </pic:pic>
                  </a:graphicData>
                </a:graphic>
              </wp:anchor>
            </w:drawing>
          </w:r>
          <w:r>
            <w:rPr>
              <w:rFonts w:eastAsia="Calibri" w:cs="Arial" w:ascii="Arial" w:hAnsi="Arial"/>
              <w:kern w:val="0"/>
              <w:sz w:val="16"/>
              <w:szCs w:val="16"/>
              <w:lang w:val="lt-LT" w:eastAsia="en-US" w:bidi="ar-SA"/>
            </w:rPr>
            <w:t>A 912</w:t>
          </w:r>
        </w:p>
      </w:tc>
      <w:tc>
        <w:tcPr>
          <w:tcW w:w="1078" w:type="dxa"/>
          <w:tcBorders>
            <w:left w:val="single" w:sz="8" w:space="0" w:color="000000"/>
            <w:bottom w:val="single" w:sz="8" w:space="0" w:color="000000"/>
          </w:tcBorders>
          <w:vAlign w:val="center"/>
        </w:tcPr>
        <w:p>
          <w:pPr>
            <w:pStyle w:val="Tvarkingas"/>
            <w:widowControl/>
            <w:suppressAutoHyphens w:val="true"/>
            <w:spacing w:lineRule="auto" w:line="240" w:before="60" w:after="60"/>
            <w:ind w:hanging="0"/>
            <w:jc w:val="left"/>
            <w:rPr>
              <w:rFonts w:ascii="Arial" w:hAnsi="Arial" w:cs="Arial"/>
              <w:sz w:val="16"/>
              <w:szCs w:val="16"/>
              <w:lang w:val="lt-LT"/>
            </w:rPr>
          </w:pPr>
          <w:r>
            <w:rPr>
              <w:rFonts w:eastAsia="Calibri" w:cs="Arial" w:ascii="Arial" w:hAnsi="Arial"/>
              <w:kern w:val="0"/>
              <w:sz w:val="16"/>
              <w:szCs w:val="16"/>
              <w:lang w:val="lt-LT" w:eastAsia="en-US" w:bidi="ar-SA"/>
            </w:rPr>
            <w:t>PV</w:t>
          </w:r>
        </w:p>
      </w:tc>
      <w:tc>
        <w:tcPr>
          <w:tcW w:w="2228" w:type="dxa"/>
          <w:tcBorders>
            <w:bottom w:val="single" w:sz="8" w:space="0" w:color="000000"/>
          </w:tcBorders>
          <w:vAlign w:val="center"/>
        </w:tcPr>
        <w:p>
          <w:pPr>
            <w:pStyle w:val="Tvarkingas"/>
            <w:widowControl/>
            <w:suppressAutoHyphens w:val="true"/>
            <w:spacing w:lineRule="auto" w:line="240" w:before="60" w:after="60"/>
            <w:ind w:hanging="0"/>
            <w:jc w:val="left"/>
            <w:rPr>
              <w:rFonts w:ascii="Arial" w:hAnsi="Arial" w:cs="Arial"/>
              <w:sz w:val="16"/>
              <w:szCs w:val="16"/>
              <w:lang w:val="lt-LT"/>
            </w:rPr>
          </w:pPr>
          <w:r>
            <w:rPr>
              <w:rFonts w:eastAsia="Calibri" w:cs="Arial" w:ascii="Arial" w:hAnsi="Arial"/>
              <w:kern w:val="0"/>
              <w:sz w:val="16"/>
              <w:szCs w:val="16"/>
              <w:lang w:val="lt-LT" w:eastAsia="en-US" w:bidi="ar-SA"/>
            </w:rPr>
            <w:t>Šarūnas Kiaunė</w:t>
          </w:r>
        </w:p>
      </w:tc>
      <w:tc>
        <w:tcPr>
          <w:tcW w:w="948" w:type="dxa"/>
          <w:tcBorders>
            <w:bottom w:val="single" w:sz="8" w:space="0" w:color="000000"/>
            <w:right w:val="single" w:sz="12" w:space="0" w:color="000000"/>
          </w:tcBorders>
        </w:tcPr>
        <w:p>
          <w:pPr>
            <w:pStyle w:val="Tvarkingas"/>
            <w:widowControl/>
            <w:suppressAutoHyphens w:val="true"/>
            <w:spacing w:lineRule="auto" w:line="240" w:before="60" w:after="60"/>
            <w:ind w:hanging="0"/>
            <w:jc w:val="left"/>
            <w:rPr>
              <w:rFonts w:ascii="Arial" w:hAnsi="Arial" w:cs="Arial"/>
              <w:sz w:val="16"/>
              <w:szCs w:val="16"/>
              <w:lang w:val="lt-LT"/>
            </w:rPr>
          </w:pPr>
          <w:r>
            <w:rPr>
              <w:rFonts w:cs="Arial" w:ascii="Arial" w:hAnsi="Arial"/>
              <w:sz w:val="16"/>
              <w:szCs w:val="16"/>
              <w:lang w:val="lt-LT"/>
            </w:rPr>
          </w:r>
        </w:p>
      </w:tc>
      <w:tc>
        <w:tcPr>
          <w:tcW w:w="5156" w:type="dxa"/>
          <w:gridSpan w:val="3"/>
          <w:vMerge w:val="continue"/>
          <w:tcBorders>
            <w:top w:val="single" w:sz="8" w:space="0" w:color="000000"/>
            <w:left w:val="single" w:sz="12" w:space="0" w:color="000000"/>
            <w:bottom w:val="single" w:sz="8" w:space="0" w:color="000000"/>
            <w:right w:val="single" w:sz="12" w:space="0" w:color="000000"/>
          </w:tcBorders>
        </w:tcPr>
        <w:p>
          <w:pPr>
            <w:pStyle w:val="Tvarkingas"/>
            <w:widowControl/>
            <w:suppressAutoHyphens w:val="true"/>
            <w:spacing w:lineRule="auto" w:line="240" w:before="60" w:after="60"/>
            <w:ind w:hanging="0"/>
            <w:jc w:val="left"/>
            <w:rPr>
              <w:rFonts w:ascii="Arial" w:hAnsi="Arial" w:cs="Arial"/>
              <w:caps/>
              <w:sz w:val="16"/>
              <w:szCs w:val="16"/>
              <w:lang w:val="lt-LT"/>
            </w:rPr>
          </w:pPr>
          <w:r>
            <w:rPr>
              <w:rFonts w:cs="Arial" w:ascii="Arial" w:hAnsi="Arial"/>
              <w:caps/>
              <w:sz w:val="16"/>
              <w:szCs w:val="16"/>
              <w:lang w:val="lt-LT"/>
            </w:rPr>
          </w:r>
        </w:p>
      </w:tc>
    </w:tr>
    <w:tr>
      <w:trPr>
        <w:trHeight w:val="339" w:hRule="atLeast"/>
      </w:trPr>
      <w:tc>
        <w:tcPr>
          <w:tcW w:w="790" w:type="dxa"/>
          <w:tcBorders>
            <w:top w:val="single" w:sz="8" w:space="0" w:color="000000"/>
            <w:left w:val="single" w:sz="12" w:space="0" w:color="000000"/>
            <w:bottom w:val="single" w:sz="8" w:space="0" w:color="000000"/>
            <w:right w:val="single" w:sz="8" w:space="0" w:color="000000"/>
          </w:tcBorders>
          <w:vAlign w:val="center"/>
        </w:tcPr>
        <w:p>
          <w:pPr>
            <w:pStyle w:val="Tvarkingas"/>
            <w:widowControl/>
            <w:suppressAutoHyphens w:val="true"/>
            <w:spacing w:lineRule="auto" w:line="240" w:before="60" w:after="60"/>
            <w:ind w:hanging="0"/>
            <w:jc w:val="left"/>
            <w:rPr>
              <w:rFonts w:eastAsia="Calibri"/>
              <w:kern w:val="0"/>
              <w:highlight w:val="none"/>
              <w:shd w:fill="auto" w:val="clear"/>
              <w:lang w:val="en-US" w:eastAsia="en-US" w:bidi="ar-SA"/>
            </w:rPr>
          </w:pPr>
          <w:r>
            <w:drawing>
              <wp:anchor behindDoc="1" distT="0" distB="0" distL="0" distR="0" simplePos="0" locked="0" layoutInCell="0" allowOverlap="1" relativeHeight="81">
                <wp:simplePos x="0" y="0"/>
                <wp:positionH relativeFrom="margin">
                  <wp:posOffset>2600960</wp:posOffset>
                </wp:positionH>
                <wp:positionV relativeFrom="paragraph">
                  <wp:posOffset>-75565</wp:posOffset>
                </wp:positionV>
                <wp:extent cx="466090" cy="344170"/>
                <wp:effectExtent l="0" t="0" r="0" b="0"/>
                <wp:wrapSquare wrapText="largest"/>
                <wp:docPr id="142"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3"/>
                        <pic:cNvPicPr>
                          <a:picLocks noChangeAspect="1" noChangeArrowheads="1"/>
                        </pic:cNvPicPr>
                      </pic:nvPicPr>
                      <pic:blipFill>
                        <a:blip r:embed="rId3"/>
                        <a:stretch>
                          <a:fillRect/>
                        </a:stretch>
                      </pic:blipFill>
                      <pic:spPr bwMode="auto">
                        <a:xfrm>
                          <a:off x="0" y="0"/>
                          <a:ext cx="466090" cy="344170"/>
                        </a:xfrm>
                        <a:prstGeom prst="rect">
                          <a:avLst/>
                        </a:prstGeom>
                        <a:noFill/>
                      </pic:spPr>
                    </pic:pic>
                  </a:graphicData>
                </a:graphic>
              </wp:anchor>
            </w:drawing>
          </w:r>
          <w:r>
            <w:rPr>
              <w:rFonts w:eastAsia="Calibri" w:cs="Arial" w:ascii="Arial" w:hAnsi="Arial"/>
              <w:kern w:val="0"/>
              <w:sz w:val="16"/>
              <w:szCs w:val="16"/>
              <w:shd w:fill="auto" w:val="clear"/>
              <w:lang w:val="lt-LT" w:eastAsia="en-US" w:bidi="ar-SA"/>
            </w:rPr>
            <w:t>A 744</w:t>
          </w:r>
        </w:p>
      </w:tc>
      <w:tc>
        <w:tcPr>
          <w:tcW w:w="1078" w:type="dxa"/>
          <w:tcBorders>
            <w:top w:val="single" w:sz="8" w:space="0" w:color="000000"/>
            <w:left w:val="single" w:sz="8" w:space="0" w:color="000000"/>
            <w:bottom w:val="single" w:sz="8" w:space="0" w:color="000000"/>
          </w:tcBorders>
          <w:vAlign w:val="center"/>
        </w:tcPr>
        <w:p>
          <w:pPr>
            <w:pStyle w:val="Tvarkingas"/>
            <w:widowControl/>
            <w:suppressAutoHyphens w:val="true"/>
            <w:spacing w:lineRule="auto" w:line="240" w:before="60" w:after="60"/>
            <w:ind w:hanging="0"/>
            <w:jc w:val="left"/>
            <w:rPr>
              <w:rFonts w:eastAsia="Calibri"/>
              <w:kern w:val="0"/>
              <w:highlight w:val="none"/>
              <w:shd w:fill="auto" w:val="clear"/>
              <w:lang w:val="en-US" w:eastAsia="en-US" w:bidi="ar-SA"/>
            </w:rPr>
          </w:pPr>
          <w:r>
            <w:rPr>
              <w:rFonts w:eastAsia="Calibri" w:cs="Arial" w:ascii="Arial" w:hAnsi="Arial"/>
              <w:kern w:val="0"/>
              <w:sz w:val="16"/>
              <w:szCs w:val="16"/>
              <w:shd w:fill="auto" w:val="clear"/>
              <w:lang w:val="lt-LT" w:eastAsia="en-US" w:bidi="ar-SA"/>
            </w:rPr>
            <w:t>PDV</w:t>
          </w:r>
        </w:p>
      </w:tc>
      <w:tc>
        <w:tcPr>
          <w:tcW w:w="2228" w:type="dxa"/>
          <w:tcBorders>
            <w:top w:val="single" w:sz="8" w:space="0" w:color="000000"/>
            <w:bottom w:val="single" w:sz="8" w:space="0" w:color="000000"/>
          </w:tcBorders>
          <w:vAlign w:val="center"/>
        </w:tcPr>
        <w:p>
          <w:pPr>
            <w:pStyle w:val="Tvarkingas"/>
            <w:widowControl/>
            <w:suppressAutoHyphens w:val="true"/>
            <w:spacing w:lineRule="auto" w:line="240" w:before="60" w:after="60"/>
            <w:ind w:hanging="0"/>
            <w:jc w:val="left"/>
            <w:rPr>
              <w:rFonts w:eastAsia="Calibri"/>
              <w:kern w:val="0"/>
              <w:highlight w:val="none"/>
              <w:shd w:fill="auto" w:val="clear"/>
              <w:lang w:val="en-US" w:eastAsia="en-US" w:bidi="ar-SA"/>
            </w:rPr>
          </w:pPr>
          <w:r>
            <w:rPr>
              <w:rFonts w:eastAsia="Calibri" w:cs="Arial" w:ascii="Arial" w:hAnsi="Arial"/>
              <w:kern w:val="0"/>
              <w:sz w:val="16"/>
              <w:szCs w:val="16"/>
              <w:shd w:fill="auto" w:val="clear"/>
              <w:lang w:val="lt-LT" w:eastAsia="en-US" w:bidi="ar-SA"/>
            </w:rPr>
            <w:t>Asta Kiaunienė</w:t>
          </w:r>
        </w:p>
      </w:tc>
      <w:tc>
        <w:tcPr>
          <w:tcW w:w="948" w:type="dxa"/>
          <w:tcBorders>
            <w:top w:val="single" w:sz="8" w:space="0" w:color="000000"/>
            <w:bottom w:val="single" w:sz="8" w:space="0" w:color="000000"/>
            <w:right w:val="single" w:sz="12" w:space="0" w:color="000000"/>
          </w:tcBorders>
          <w:vAlign w:val="center"/>
        </w:tcPr>
        <w:p>
          <w:pPr>
            <w:pStyle w:val="Tvarkingas"/>
            <w:widowControl/>
            <w:suppressAutoHyphens w:val="true"/>
            <w:spacing w:lineRule="auto" w:line="240" w:before="60" w:after="60"/>
            <w:ind w:hanging="0"/>
            <w:jc w:val="left"/>
            <w:rPr>
              <w:rFonts w:ascii="Arial" w:hAnsi="Arial" w:cs="Arial"/>
              <w:color w:val="0070C0"/>
              <w:sz w:val="16"/>
              <w:szCs w:val="16"/>
              <w:lang w:val="lt-LT"/>
            </w:rPr>
          </w:pPr>
          <w:r>
            <w:rPr>
              <w:rFonts w:cs="Arial" w:ascii="Arial" w:hAnsi="Arial"/>
              <w:color w:val="0070C0"/>
              <w:sz w:val="16"/>
              <w:szCs w:val="16"/>
              <w:lang w:val="lt-LT"/>
            </w:rPr>
          </w:r>
        </w:p>
      </w:tc>
      <w:tc>
        <w:tcPr>
          <w:tcW w:w="4383" w:type="dxa"/>
          <w:gridSpan w:val="2"/>
          <w:vMerge w:val="restart"/>
          <w:tcBorders>
            <w:top w:val="single" w:sz="8" w:space="0" w:color="000000"/>
            <w:left w:val="single" w:sz="12" w:space="0" w:color="000000"/>
            <w:bottom w:val="single" w:sz="12" w:space="0" w:color="000000"/>
            <w:right w:val="single" w:sz="8" w:space="0" w:color="000000"/>
          </w:tcBorders>
        </w:tcPr>
        <w:p>
          <w:pPr>
            <w:pStyle w:val="Tvarkingas"/>
            <w:widowControl/>
            <w:suppressAutoHyphens w:val="true"/>
            <w:spacing w:lineRule="auto" w:line="240" w:before="60" w:after="60"/>
            <w:ind w:hanging="0"/>
            <w:jc w:val="left"/>
            <w:rPr>
              <w:rFonts w:ascii="Arial" w:hAnsi="Arial" w:cs="Arial"/>
              <w:caps/>
              <w:sz w:val="16"/>
              <w:szCs w:val="16"/>
              <w:lang w:val="lt-LT"/>
            </w:rPr>
          </w:pPr>
          <w:r>
            <w:rPr>
              <w:rFonts w:eastAsia="Calibri" w:cs="Arial" w:ascii="Arial" w:hAnsi="Arial"/>
              <w:caps/>
              <w:kern w:val="0"/>
              <w:sz w:val="16"/>
              <w:szCs w:val="16"/>
              <w:lang w:val="lt-LT" w:eastAsia="en-US" w:bidi="ar-SA"/>
            </w:rPr>
            <w:t>Dokumento pavadinimas</w:t>
          </w:r>
        </w:p>
        <w:p>
          <w:pPr>
            <w:pStyle w:val="Tvarkingas"/>
            <w:widowControl/>
            <w:suppressAutoHyphens w:val="true"/>
            <w:spacing w:lineRule="auto" w:line="240" w:before="60" w:after="60"/>
            <w:ind w:hanging="0"/>
            <w:jc w:val="left"/>
            <w:rPr>
              <w:rFonts w:ascii="Arial" w:hAnsi="Arial" w:cs="Arial"/>
              <w:sz w:val="16"/>
              <w:szCs w:val="16"/>
              <w:lang w:val="lt-LT"/>
            </w:rPr>
          </w:pPr>
          <w:r>
            <w:rPr>
              <w:rFonts w:eastAsia="Calibri" w:cs="Arial" w:ascii="Arial" w:hAnsi="Arial"/>
              <w:kern w:val="0"/>
              <w:sz w:val="16"/>
              <w:szCs w:val="16"/>
              <w:lang w:val="lt-LT" w:eastAsia="en-US" w:bidi="ar-SA"/>
            </w:rPr>
            <w:t>Techninės specifikacijos</w:t>
          </w:r>
        </w:p>
      </w:tc>
      <w:tc>
        <w:tcPr>
          <w:tcW w:w="773" w:type="dxa"/>
          <w:tcBorders>
            <w:top w:val="single" w:sz="8" w:space="0" w:color="000000"/>
            <w:left w:val="single" w:sz="8" w:space="0" w:color="000000"/>
            <w:bottom w:val="single" w:sz="8" w:space="0" w:color="000000"/>
            <w:right w:val="single" w:sz="12" w:space="0" w:color="000000"/>
          </w:tcBorders>
        </w:tcPr>
        <w:p>
          <w:pPr>
            <w:pStyle w:val="Tvarkingas"/>
            <w:widowControl/>
            <w:suppressAutoHyphens w:val="true"/>
            <w:spacing w:lineRule="auto" w:line="240" w:before="60" w:after="60"/>
            <w:ind w:hanging="0"/>
            <w:jc w:val="center"/>
            <w:rPr>
              <w:rFonts w:ascii="Arial" w:hAnsi="Arial" w:cs="Arial"/>
              <w:caps/>
              <w:sz w:val="16"/>
              <w:szCs w:val="16"/>
              <w:lang w:val="lt-LT"/>
            </w:rPr>
          </w:pPr>
          <w:r>
            <w:rPr>
              <w:rFonts w:eastAsia="Calibri" w:cs="Arial" w:ascii="Arial" w:hAnsi="Arial"/>
              <w:caps/>
              <w:kern w:val="0"/>
              <w:sz w:val="16"/>
              <w:szCs w:val="16"/>
              <w:lang w:val="lt-LT" w:eastAsia="en-US" w:bidi="ar-SA"/>
            </w:rPr>
            <w:t>Laida</w:t>
          </w:r>
        </w:p>
      </w:tc>
    </w:tr>
    <w:tr>
      <w:trPr>
        <w:trHeight w:val="288" w:hRule="atLeast"/>
      </w:trPr>
      <w:tc>
        <w:tcPr>
          <w:tcW w:w="790" w:type="dxa"/>
          <w:tcBorders>
            <w:top w:val="single" w:sz="8" w:space="0" w:color="000000"/>
            <w:left w:val="single" w:sz="12" w:space="0" w:color="000000"/>
            <w:bottom w:val="single" w:sz="12" w:space="0" w:color="000000"/>
            <w:right w:val="single" w:sz="8" w:space="0" w:color="000000"/>
          </w:tcBorders>
          <w:vAlign w:val="center"/>
        </w:tcPr>
        <w:p>
          <w:pPr>
            <w:pStyle w:val="Tvarkingas"/>
            <w:widowControl/>
            <w:suppressAutoHyphens w:val="true"/>
            <w:spacing w:lineRule="auto" w:line="240" w:before="60" w:after="60"/>
            <w:ind w:hanging="0"/>
            <w:jc w:val="left"/>
            <w:rPr>
              <w:rFonts w:ascii="Arial" w:hAnsi="Arial" w:eastAsia="Calibri" w:cs="Arial"/>
              <w:kern w:val="0"/>
              <w:sz w:val="16"/>
              <w:szCs w:val="16"/>
              <w:highlight w:val="none"/>
              <w:shd w:fill="auto" w:val="clear"/>
              <w:lang w:val="lt-LT" w:eastAsia="en-US" w:bidi="ar-SA"/>
            </w:rPr>
          </w:pPr>
          <w:r>
            <w:rPr>
              <w:rFonts w:eastAsia="Calibri" w:cs="Arial" w:ascii="Arial" w:hAnsi="Arial"/>
              <w:kern w:val="0"/>
              <w:sz w:val="16"/>
              <w:szCs w:val="16"/>
              <w:shd w:fill="auto" w:val="clear"/>
              <w:lang w:val="lt-LT" w:eastAsia="en-US" w:bidi="ar-SA"/>
            </w:rPr>
            <w:drawing>
              <wp:anchor behindDoc="1" distT="0" distB="0" distL="0" distR="0" simplePos="0" locked="0" layoutInCell="0" allowOverlap="1" relativeHeight="82">
                <wp:simplePos x="0" y="0"/>
                <wp:positionH relativeFrom="margin">
                  <wp:posOffset>2600960</wp:posOffset>
                </wp:positionH>
                <wp:positionV relativeFrom="paragraph">
                  <wp:posOffset>-71755</wp:posOffset>
                </wp:positionV>
                <wp:extent cx="466090" cy="400685"/>
                <wp:effectExtent l="0" t="0" r="0" b="0"/>
                <wp:wrapSquare wrapText="largest"/>
                <wp:docPr id="143"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Image4"/>
                        <pic:cNvPicPr>
                          <a:picLocks noChangeAspect="1" noChangeArrowheads="1"/>
                        </pic:cNvPicPr>
                      </pic:nvPicPr>
                      <pic:blipFill>
                        <a:blip r:embed="rId4"/>
                        <a:stretch>
                          <a:fillRect/>
                        </a:stretch>
                      </pic:blipFill>
                      <pic:spPr bwMode="auto">
                        <a:xfrm>
                          <a:off x="0" y="0"/>
                          <a:ext cx="466090" cy="400685"/>
                        </a:xfrm>
                        <a:prstGeom prst="rect">
                          <a:avLst/>
                        </a:prstGeom>
                        <a:noFill/>
                      </pic:spPr>
                    </pic:pic>
                  </a:graphicData>
                </a:graphic>
              </wp:anchor>
            </w:drawing>
          </w:r>
        </w:p>
      </w:tc>
      <w:tc>
        <w:tcPr>
          <w:tcW w:w="1078" w:type="dxa"/>
          <w:tcBorders>
            <w:top w:val="single" w:sz="8" w:space="0" w:color="000000"/>
            <w:left w:val="single" w:sz="8" w:space="0" w:color="000000"/>
            <w:bottom w:val="single" w:sz="12" w:space="0" w:color="000000"/>
          </w:tcBorders>
          <w:vAlign w:val="center"/>
        </w:tcPr>
        <w:p>
          <w:pPr>
            <w:pStyle w:val="Tvarkingas"/>
            <w:widowControl/>
            <w:suppressAutoHyphens w:val="true"/>
            <w:spacing w:lineRule="auto" w:line="240" w:before="60" w:after="60"/>
            <w:ind w:hanging="0"/>
            <w:jc w:val="left"/>
            <w:rPr>
              <w:rFonts w:ascii="Arial" w:hAnsi="Arial" w:eastAsia="Calibri" w:cs="Arial"/>
              <w:kern w:val="0"/>
              <w:sz w:val="16"/>
              <w:szCs w:val="16"/>
              <w:highlight w:val="none"/>
              <w:shd w:fill="auto" w:val="clear"/>
              <w:lang w:val="lt-LT" w:eastAsia="en-US" w:bidi="ar-SA"/>
            </w:rPr>
          </w:pPr>
          <w:r>
            <w:rPr>
              <w:rFonts w:eastAsia="Calibri" w:cs="Arial" w:ascii="Arial" w:hAnsi="Arial"/>
              <w:kern w:val="0"/>
              <w:sz w:val="16"/>
              <w:szCs w:val="16"/>
              <w:shd w:fill="auto" w:val="clear"/>
              <w:lang w:val="lt-LT" w:eastAsia="en-US" w:bidi="ar-SA"/>
            </w:rPr>
            <w:t>Arch.</w:t>
          </w:r>
        </w:p>
      </w:tc>
      <w:tc>
        <w:tcPr>
          <w:tcW w:w="2228" w:type="dxa"/>
          <w:tcBorders>
            <w:top w:val="single" w:sz="8" w:space="0" w:color="000000"/>
            <w:bottom w:val="single" w:sz="12" w:space="0" w:color="000000"/>
          </w:tcBorders>
          <w:vAlign w:val="center"/>
        </w:tcPr>
        <w:p>
          <w:pPr>
            <w:pStyle w:val="Tvarkingas"/>
            <w:widowControl/>
            <w:suppressAutoHyphens w:val="true"/>
            <w:spacing w:lineRule="auto" w:line="240" w:before="60" w:after="60"/>
            <w:ind w:hanging="0"/>
            <w:jc w:val="left"/>
            <w:rPr>
              <w:rFonts w:ascii="Arial" w:hAnsi="Arial" w:eastAsia="Calibri" w:cs="Arial"/>
              <w:kern w:val="0"/>
              <w:sz w:val="16"/>
              <w:szCs w:val="16"/>
              <w:highlight w:val="none"/>
              <w:shd w:fill="auto" w:val="clear"/>
              <w:lang w:val="lt-LT" w:eastAsia="en-US" w:bidi="ar-SA"/>
            </w:rPr>
          </w:pPr>
          <w:r>
            <w:rPr>
              <w:rFonts w:eastAsia="Calibri" w:cs="Arial" w:ascii="Arial" w:hAnsi="Arial"/>
              <w:kern w:val="0"/>
              <w:sz w:val="16"/>
              <w:szCs w:val="16"/>
              <w:shd w:fill="auto" w:val="clear"/>
              <w:lang w:val="lt-LT" w:eastAsia="en-US" w:bidi="ar-SA"/>
            </w:rPr>
            <w:t>Gintarė Marozaitė</w:t>
          </w:r>
        </w:p>
      </w:tc>
      <w:tc>
        <w:tcPr>
          <w:tcW w:w="948" w:type="dxa"/>
          <w:tcBorders>
            <w:top w:val="single" w:sz="8" w:space="0" w:color="000000"/>
            <w:bottom w:val="single" w:sz="12" w:space="0" w:color="000000"/>
            <w:right w:val="single" w:sz="12" w:space="0" w:color="000000"/>
          </w:tcBorders>
          <w:vAlign w:val="center"/>
        </w:tcPr>
        <w:p>
          <w:pPr>
            <w:pStyle w:val="Tvarkingas"/>
            <w:widowControl/>
            <w:suppressAutoHyphens w:val="true"/>
            <w:spacing w:lineRule="auto" w:line="240" w:before="60" w:after="60"/>
            <w:ind w:hanging="0"/>
            <w:jc w:val="left"/>
            <w:rPr>
              <w:rFonts w:ascii="Arial" w:hAnsi="Arial" w:cs="Arial"/>
              <w:sz w:val="16"/>
              <w:szCs w:val="16"/>
              <w:lang w:val="lt-LT"/>
            </w:rPr>
          </w:pPr>
          <w:r>
            <w:rPr>
              <w:rFonts w:cs="Arial" w:ascii="Arial" w:hAnsi="Arial"/>
              <w:sz w:val="16"/>
              <w:szCs w:val="16"/>
              <w:lang w:val="lt-LT"/>
            </w:rPr>
          </w:r>
        </w:p>
      </w:tc>
      <w:tc>
        <w:tcPr>
          <w:tcW w:w="4383" w:type="dxa"/>
          <w:gridSpan w:val="2"/>
          <w:vMerge w:val="continue"/>
          <w:tcBorders>
            <w:top w:val="single" w:sz="8" w:space="0" w:color="000000"/>
            <w:left w:val="single" w:sz="8" w:space="0" w:color="000000"/>
            <w:bottom w:val="single" w:sz="12" w:space="0" w:color="000000"/>
            <w:right w:val="single" w:sz="8" w:space="0" w:color="000000"/>
          </w:tcBorders>
          <w:vAlign w:val="center"/>
        </w:tcPr>
        <w:p>
          <w:pPr>
            <w:pStyle w:val="Normal"/>
            <w:widowControl/>
            <w:suppressAutoHyphens w:val="true"/>
            <w:spacing w:lineRule="auto" w:line="240" w:before="0" w:after="0"/>
            <w:jc w:val="left"/>
            <w:rPr>
              <w:rFonts w:ascii="Arial" w:hAnsi="Arial" w:cs="Arial"/>
              <w:sz w:val="16"/>
              <w:szCs w:val="16"/>
              <w:lang w:val="lt-LT"/>
            </w:rPr>
          </w:pPr>
          <w:r>
            <w:rPr>
              <w:rFonts w:cs="Arial" w:ascii="Arial" w:hAnsi="Arial"/>
              <w:sz w:val="16"/>
              <w:szCs w:val="16"/>
              <w:lang w:val="lt-LT"/>
            </w:rPr>
          </w:r>
        </w:p>
      </w:tc>
      <w:tc>
        <w:tcPr>
          <w:tcW w:w="773" w:type="dxa"/>
          <w:tcBorders>
            <w:top w:val="single" w:sz="8" w:space="0" w:color="000000"/>
            <w:left w:val="single" w:sz="8" w:space="0" w:color="000000"/>
            <w:bottom w:val="single" w:sz="12" w:space="0" w:color="000000"/>
            <w:right w:val="single" w:sz="12" w:space="0" w:color="000000"/>
          </w:tcBorders>
        </w:tcPr>
        <w:p>
          <w:pPr>
            <w:pStyle w:val="Tvarkingas"/>
            <w:widowControl/>
            <w:suppressAutoHyphens w:val="true"/>
            <w:spacing w:lineRule="auto" w:line="240" w:before="60" w:after="60"/>
            <w:ind w:hanging="0"/>
            <w:jc w:val="center"/>
            <w:rPr>
              <w:rFonts w:ascii="Arial" w:hAnsi="Arial" w:cs="Arial"/>
              <w:sz w:val="16"/>
              <w:szCs w:val="16"/>
              <w:lang w:val="lt-LT"/>
            </w:rPr>
          </w:pPr>
          <w:r>
            <w:rPr>
              <w:rFonts w:eastAsia="Calibri" w:cs="Arial" w:ascii="Arial" w:hAnsi="Arial"/>
              <w:kern w:val="0"/>
              <w:sz w:val="16"/>
              <w:szCs w:val="16"/>
              <w:lang w:val="lt-LT" w:eastAsia="en-US" w:bidi="ar-SA"/>
            </w:rPr>
            <w:t>0</w:t>
          </w:r>
        </w:p>
      </w:tc>
    </w:tr>
    <w:tr>
      <w:trPr>
        <w:trHeight w:val="288" w:hRule="atLeast"/>
      </w:trPr>
      <w:tc>
        <w:tcPr>
          <w:tcW w:w="790" w:type="dxa"/>
          <w:vMerge w:val="restart"/>
          <w:tcBorders>
            <w:top w:val="single" w:sz="12" w:space="0" w:color="000000"/>
            <w:left w:val="single" w:sz="12" w:space="0" w:color="000000"/>
            <w:bottom w:val="single" w:sz="12" w:space="0" w:color="000000"/>
            <w:right w:val="single" w:sz="8" w:space="0" w:color="000000"/>
          </w:tcBorders>
        </w:tcPr>
        <w:p>
          <w:pPr>
            <w:pStyle w:val="Tvarkingas"/>
            <w:widowControl/>
            <w:suppressAutoHyphens w:val="true"/>
            <w:spacing w:lineRule="auto" w:line="240" w:before="60" w:after="60"/>
            <w:ind w:hanging="0"/>
            <w:jc w:val="center"/>
            <w:rPr>
              <w:rFonts w:ascii="Arial" w:hAnsi="Arial" w:cs="Arial"/>
              <w:caps/>
              <w:sz w:val="16"/>
              <w:szCs w:val="16"/>
              <w:lang w:val="lt-LT"/>
            </w:rPr>
          </w:pPr>
          <w:r>
            <w:rPr>
              <w:rFonts w:eastAsia="Calibri" w:cs="Arial" w:ascii="Arial" w:hAnsi="Arial"/>
              <w:caps/>
              <w:kern w:val="0"/>
              <w:sz w:val="16"/>
              <w:szCs w:val="16"/>
              <w:lang w:val="lt-LT" w:eastAsia="en-US" w:bidi="ar-SA"/>
            </w:rPr>
            <w:t>Kalba</w:t>
          </w:r>
        </w:p>
        <w:p>
          <w:pPr>
            <w:pStyle w:val="Tvarkingas"/>
            <w:widowControl/>
            <w:suppressAutoHyphens w:val="true"/>
            <w:spacing w:lineRule="auto" w:line="240" w:before="60" w:after="60"/>
            <w:ind w:hanging="0"/>
            <w:jc w:val="center"/>
            <w:rPr>
              <w:rFonts w:ascii="Arial" w:hAnsi="Arial" w:cs="Arial"/>
              <w:sz w:val="16"/>
              <w:szCs w:val="16"/>
              <w:lang w:val="lt-LT"/>
            </w:rPr>
          </w:pPr>
          <w:r>
            <w:rPr>
              <w:rFonts w:eastAsia="Calibri" w:cs="Arial" w:ascii="Arial" w:hAnsi="Arial"/>
              <w:kern w:val="0"/>
              <w:sz w:val="16"/>
              <w:szCs w:val="16"/>
              <w:lang w:val="lt-LT" w:eastAsia="en-US" w:bidi="ar-SA"/>
            </w:rPr>
            <w:t>LT</w:t>
          </w:r>
        </w:p>
      </w:tc>
      <w:tc>
        <w:tcPr>
          <w:tcW w:w="4254" w:type="dxa"/>
          <w:gridSpan w:val="3"/>
          <w:vMerge w:val="restart"/>
          <w:tcBorders>
            <w:top w:val="single" w:sz="12" w:space="0" w:color="000000"/>
            <w:left w:val="single" w:sz="8" w:space="0" w:color="000000"/>
            <w:bottom w:val="single" w:sz="12" w:space="0" w:color="000000"/>
            <w:right w:val="single" w:sz="12" w:space="0" w:color="000000"/>
          </w:tcBorders>
        </w:tcPr>
        <w:p>
          <w:pPr>
            <w:pStyle w:val="Tvarkingas"/>
            <w:widowControl/>
            <w:numPr>
              <w:ilvl w:val="0"/>
              <w:numId w:val="0"/>
            </w:numPr>
            <w:suppressAutoHyphens w:val="true"/>
            <w:spacing w:lineRule="auto" w:line="240" w:before="60" w:after="60"/>
            <w:ind w:hanging="0" w:left="0"/>
            <w:jc w:val="left"/>
            <w:outlineLvl w:val="0"/>
            <w:rPr>
              <w:rFonts w:ascii="Arial" w:hAnsi="Arial" w:cs="Arial"/>
              <w:caps/>
              <w:sz w:val="16"/>
              <w:szCs w:val="16"/>
              <w:lang w:val="lt-LT"/>
            </w:rPr>
          </w:pPr>
          <w:r>
            <w:rPr>
              <w:rFonts w:eastAsia="Calibri" w:cs="Arial" w:ascii="Arial" w:hAnsi="Arial"/>
              <w:caps/>
              <w:kern w:val="0"/>
              <w:sz w:val="16"/>
              <w:szCs w:val="16"/>
              <w:lang w:val="lt-LT" w:eastAsia="en-US" w:bidi="ar-SA"/>
            </w:rPr>
            <w:t>Statytojas IR (AR) Užsakovas</w:t>
          </w:r>
        </w:p>
        <w:p>
          <w:pPr>
            <w:pStyle w:val="Tvarkingas"/>
            <w:widowControl/>
            <w:suppressAutoHyphens w:val="true"/>
            <w:spacing w:lineRule="auto" w:line="240" w:before="60" w:after="60"/>
            <w:ind w:hanging="0"/>
            <w:jc w:val="left"/>
            <w:rPr>
              <w:rFonts w:ascii="Arial" w:hAnsi="Arial" w:cs="Arial"/>
              <w:sz w:val="16"/>
              <w:szCs w:val="16"/>
              <w:lang w:val="lt-LT"/>
            </w:rPr>
          </w:pPr>
          <w:r>
            <w:rPr>
              <w:rFonts w:eastAsia="Calibri" w:cs="Arial" w:ascii="Arial" w:hAnsi="Arial"/>
              <w:kern w:val="0"/>
              <w:sz w:val="16"/>
              <w:szCs w:val="16"/>
              <w:lang w:val="lt-LT" w:eastAsia="en-US" w:bidi="ar-SA"/>
            </w:rPr>
            <w:t>Klaipėdos miesto savivaldybė</w:t>
          </w:r>
        </w:p>
      </w:tc>
      <w:tc>
        <w:tcPr>
          <w:tcW w:w="3615" w:type="dxa"/>
          <w:vMerge w:val="restart"/>
          <w:tcBorders>
            <w:top w:val="single" w:sz="12" w:space="0" w:color="000000"/>
            <w:left w:val="single" w:sz="12" w:space="0" w:color="000000"/>
            <w:bottom w:val="single" w:sz="12" w:space="0" w:color="000000"/>
            <w:right w:val="single" w:sz="8" w:space="0" w:color="000000"/>
          </w:tcBorders>
        </w:tcPr>
        <w:p>
          <w:pPr>
            <w:pStyle w:val="Tvarkingas"/>
            <w:widowControl/>
            <w:suppressAutoHyphens w:val="true"/>
            <w:spacing w:lineRule="auto" w:line="240" w:before="60" w:after="60"/>
            <w:ind w:hanging="0"/>
            <w:jc w:val="left"/>
            <w:rPr>
              <w:rFonts w:ascii="Arial" w:hAnsi="Arial" w:cs="Arial"/>
              <w:caps/>
              <w:sz w:val="16"/>
              <w:szCs w:val="16"/>
              <w:lang w:val="lt-LT"/>
            </w:rPr>
          </w:pPr>
          <w:r>
            <w:rPr>
              <w:rFonts w:eastAsia="Calibri" w:cs="Arial" w:ascii="Arial" w:hAnsi="Arial"/>
              <w:caps/>
              <w:kern w:val="0"/>
              <w:sz w:val="16"/>
              <w:szCs w:val="16"/>
              <w:lang w:val="lt-LT" w:eastAsia="en-US" w:bidi="ar-SA"/>
            </w:rPr>
            <w:t>Dokumento žymuo</w:t>
          </w:r>
        </w:p>
        <w:p>
          <w:pPr>
            <w:pStyle w:val="Tvarkingas"/>
            <w:widowControl/>
            <w:suppressAutoHyphens w:val="true"/>
            <w:spacing w:lineRule="auto" w:line="240" w:before="60" w:after="60"/>
            <w:ind w:hanging="0"/>
            <w:jc w:val="left"/>
            <w:rPr>
              <w:rFonts w:eastAsia="Calibri"/>
              <w:kern w:val="0"/>
              <w:highlight w:val="none"/>
              <w:shd w:fill="auto" w:val="clear"/>
              <w:lang w:val="en-US" w:eastAsia="en-US" w:bidi="ar-SA"/>
            </w:rPr>
          </w:pPr>
          <w:r>
            <w:rPr>
              <w:rFonts w:eastAsia="Calibri" w:cs="Arial" w:ascii="Arial" w:hAnsi="Arial"/>
              <w:kern w:val="0"/>
              <w:sz w:val="16"/>
              <w:szCs w:val="16"/>
              <w:shd w:fill="auto" w:val="clear"/>
              <w:lang w:val="lt-LT" w:eastAsia="en-US" w:bidi="ar-SA"/>
            </w:rPr>
            <w:t>P22-037-KRTP-SP.TS</w:t>
          </w:r>
        </w:p>
      </w:tc>
      <w:tc>
        <w:tcPr>
          <w:tcW w:w="768" w:type="dxa"/>
          <w:tcBorders>
            <w:top w:val="single" w:sz="12" w:space="0" w:color="000000"/>
            <w:left w:val="single" w:sz="8" w:space="0" w:color="000000"/>
            <w:bottom w:val="single" w:sz="8" w:space="0" w:color="000000"/>
            <w:right w:val="single" w:sz="8" w:space="0" w:color="000000"/>
          </w:tcBorders>
        </w:tcPr>
        <w:p>
          <w:pPr>
            <w:pStyle w:val="Tvarkingas"/>
            <w:widowControl/>
            <w:suppressAutoHyphens w:val="true"/>
            <w:spacing w:lineRule="auto" w:line="240" w:before="60" w:after="60"/>
            <w:ind w:hanging="0"/>
            <w:jc w:val="left"/>
            <w:rPr>
              <w:rFonts w:ascii="Arial" w:hAnsi="Arial" w:cs="Arial"/>
              <w:sz w:val="16"/>
              <w:szCs w:val="16"/>
              <w:lang w:val="lt-LT"/>
            </w:rPr>
          </w:pPr>
          <w:r>
            <w:rPr>
              <w:rFonts w:eastAsia="Calibri" w:cs="Arial" w:ascii="Arial" w:hAnsi="Arial"/>
              <w:caps/>
              <w:kern w:val="0"/>
              <w:sz w:val="16"/>
              <w:szCs w:val="16"/>
              <w:lang w:val="lt-LT" w:eastAsia="en-US" w:bidi="ar-SA"/>
            </w:rPr>
            <w:t>Lapas</w:t>
          </w:r>
        </w:p>
      </w:tc>
      <w:tc>
        <w:tcPr>
          <w:tcW w:w="773" w:type="dxa"/>
          <w:tcBorders>
            <w:top w:val="single" w:sz="12" w:space="0" w:color="000000"/>
            <w:left w:val="single" w:sz="8" w:space="0" w:color="000000"/>
            <w:bottom w:val="single" w:sz="8" w:space="0" w:color="000000"/>
            <w:right w:val="single" w:sz="12" w:space="0" w:color="000000"/>
          </w:tcBorders>
        </w:tcPr>
        <w:p>
          <w:pPr>
            <w:pStyle w:val="Tvarkingas"/>
            <w:widowControl/>
            <w:suppressAutoHyphens w:val="true"/>
            <w:spacing w:lineRule="auto" w:line="240" w:before="60" w:after="60"/>
            <w:ind w:hanging="0"/>
            <w:jc w:val="center"/>
            <w:rPr>
              <w:rFonts w:ascii="Arial" w:hAnsi="Arial" w:cs="Arial"/>
              <w:color w:val="0070C0"/>
              <w:sz w:val="16"/>
              <w:szCs w:val="16"/>
              <w:lang w:val="lt-LT"/>
            </w:rPr>
          </w:pPr>
          <w:r>
            <w:rPr>
              <w:rFonts w:eastAsia="Calibri" w:cs="Arial" w:ascii="Arial" w:hAnsi="Arial"/>
              <w:caps/>
              <w:kern w:val="0"/>
              <w:sz w:val="16"/>
              <w:szCs w:val="16"/>
              <w:lang w:val="lt-LT" w:eastAsia="en-US" w:bidi="ar-SA"/>
            </w:rPr>
            <w:t>Lapų</w:t>
          </w:r>
        </w:p>
      </w:tc>
    </w:tr>
    <w:tr>
      <w:trPr>
        <w:trHeight w:val="288" w:hRule="atLeast"/>
      </w:trPr>
      <w:tc>
        <w:tcPr>
          <w:tcW w:w="790" w:type="dxa"/>
          <w:vMerge w:val="continue"/>
          <w:tcBorders>
            <w:top w:val="single" w:sz="12" w:space="0" w:color="000000"/>
            <w:left w:val="single" w:sz="12" w:space="0" w:color="000000"/>
            <w:bottom w:val="single" w:sz="12" w:space="0" w:color="000000"/>
            <w:right w:val="single" w:sz="8" w:space="0" w:color="000000"/>
          </w:tcBorders>
          <w:vAlign w:val="center"/>
        </w:tcPr>
        <w:p>
          <w:pPr>
            <w:pStyle w:val="Normal"/>
            <w:widowControl/>
            <w:suppressAutoHyphens w:val="true"/>
            <w:spacing w:lineRule="auto" w:line="240" w:before="0" w:after="0"/>
            <w:jc w:val="left"/>
            <w:rPr>
              <w:rFonts w:ascii="Arial" w:hAnsi="Arial" w:cs="Arial"/>
              <w:sz w:val="16"/>
              <w:szCs w:val="16"/>
              <w:lang w:val="lt-LT"/>
            </w:rPr>
          </w:pPr>
          <w:r>
            <w:rPr>
              <w:rFonts w:cs="Arial" w:ascii="Arial" w:hAnsi="Arial"/>
              <w:sz w:val="16"/>
              <w:szCs w:val="16"/>
              <w:lang w:val="lt-LT"/>
            </w:rPr>
          </w:r>
        </w:p>
      </w:tc>
      <w:tc>
        <w:tcPr>
          <w:tcW w:w="4254" w:type="dxa"/>
          <w:gridSpan w:val="3"/>
          <w:vMerge w:val="continue"/>
          <w:tcBorders>
            <w:top w:val="single" w:sz="12" w:space="0" w:color="000000"/>
            <w:left w:val="single" w:sz="8" w:space="0" w:color="000000"/>
            <w:bottom w:val="single" w:sz="12" w:space="0" w:color="000000"/>
            <w:right w:val="single" w:sz="12" w:space="0" w:color="000000"/>
          </w:tcBorders>
          <w:vAlign w:val="center"/>
        </w:tcPr>
        <w:p>
          <w:pPr>
            <w:pStyle w:val="Normal"/>
            <w:widowControl/>
            <w:suppressAutoHyphens w:val="true"/>
            <w:spacing w:lineRule="auto" w:line="240" w:before="0" w:after="0"/>
            <w:jc w:val="left"/>
            <w:rPr>
              <w:rFonts w:ascii="Arial" w:hAnsi="Arial" w:cs="Arial"/>
              <w:sz w:val="16"/>
              <w:szCs w:val="16"/>
              <w:lang w:val="lt-LT"/>
            </w:rPr>
          </w:pPr>
          <w:r>
            <w:rPr>
              <w:rFonts w:cs="Arial" w:ascii="Arial" w:hAnsi="Arial"/>
              <w:sz w:val="16"/>
              <w:szCs w:val="16"/>
              <w:lang w:val="lt-LT"/>
            </w:rPr>
          </w:r>
        </w:p>
      </w:tc>
      <w:tc>
        <w:tcPr>
          <w:tcW w:w="3615" w:type="dxa"/>
          <w:vMerge w:val="continue"/>
          <w:tcBorders>
            <w:top w:val="single" w:sz="12" w:space="0" w:color="000000"/>
            <w:left w:val="single" w:sz="12" w:space="0" w:color="000000"/>
            <w:bottom w:val="single" w:sz="12" w:space="0" w:color="000000"/>
            <w:right w:val="single" w:sz="8" w:space="0" w:color="000000"/>
          </w:tcBorders>
          <w:vAlign w:val="center"/>
        </w:tcPr>
        <w:p>
          <w:pPr>
            <w:pStyle w:val="Normal"/>
            <w:widowControl/>
            <w:suppressAutoHyphens w:val="true"/>
            <w:spacing w:lineRule="auto" w:line="240" w:before="0" w:after="0"/>
            <w:jc w:val="left"/>
            <w:rPr>
              <w:rFonts w:ascii="Arial" w:hAnsi="Arial" w:cs="Arial"/>
              <w:sz w:val="16"/>
              <w:szCs w:val="16"/>
              <w:lang w:val="lt-LT"/>
            </w:rPr>
          </w:pPr>
          <w:r>
            <w:rPr>
              <w:rFonts w:cs="Arial" w:ascii="Arial" w:hAnsi="Arial"/>
              <w:sz w:val="16"/>
              <w:szCs w:val="16"/>
              <w:lang w:val="lt-LT"/>
            </w:rPr>
          </w:r>
        </w:p>
      </w:tc>
      <w:tc>
        <w:tcPr>
          <w:tcW w:w="768" w:type="dxa"/>
          <w:tcBorders>
            <w:top w:val="single" w:sz="8" w:space="0" w:color="000000"/>
            <w:left w:val="single" w:sz="8" w:space="0" w:color="000000"/>
            <w:bottom w:val="single" w:sz="12" w:space="0" w:color="000000"/>
            <w:right w:val="single" w:sz="8" w:space="0" w:color="000000"/>
          </w:tcBorders>
          <w:vAlign w:val="center"/>
        </w:tcPr>
        <w:p>
          <w:pPr>
            <w:pStyle w:val="Tvarkingas"/>
            <w:widowControl/>
            <w:suppressAutoHyphens w:val="true"/>
            <w:spacing w:lineRule="auto" w:line="240" w:before="60" w:after="60"/>
            <w:ind w:hanging="0"/>
            <w:jc w:val="center"/>
            <w:rPr>
              <w:rFonts w:ascii="Arial\" w:hAnsi="Arial\"/>
              <w:sz w:val="20"/>
              <w:szCs w:val="20"/>
            </w:rPr>
          </w:pPr>
          <w:r>
            <w:rPr/>
            <w:fldChar w:fldCharType="begin"/>
          </w:r>
          <w:r>
            <w:rPr/>
            <w:instrText xml:space="preserve"> PAGE </w:instrText>
          </w:r>
          <w:r>
            <w:rPr/>
            <w:fldChar w:fldCharType="separate"/>
          </w:r>
          <w:r>
            <w:rPr/>
            <w:t>1</w:t>
          </w:r>
          <w:r>
            <w:rPr/>
            <w:fldChar w:fldCharType="end"/>
          </w:r>
        </w:p>
      </w:tc>
      <w:tc>
        <w:tcPr>
          <w:tcW w:w="773" w:type="dxa"/>
          <w:tcBorders>
            <w:top w:val="single" w:sz="8" w:space="0" w:color="000000"/>
            <w:left w:val="single" w:sz="8" w:space="0" w:color="000000"/>
            <w:bottom w:val="single" w:sz="12" w:space="0" w:color="000000"/>
            <w:right w:val="single" w:sz="12" w:space="0" w:color="000000"/>
          </w:tcBorders>
          <w:vAlign w:val="center"/>
        </w:tcPr>
        <w:p>
          <w:pPr>
            <w:pStyle w:val="Tvarkingas"/>
            <w:widowControl/>
            <w:suppressAutoHyphens w:val="true"/>
            <w:spacing w:lineRule="auto" w:line="240" w:before="60" w:after="60"/>
            <w:ind w:hanging="0"/>
            <w:jc w:val="center"/>
            <w:rPr>
              <w:rFonts w:ascii="Arial\" w:hAnsi="Arial\"/>
              <w:sz w:val="20"/>
              <w:szCs w:val="20"/>
            </w:rPr>
          </w:pPr>
          <w:r>
            <w:rPr/>
            <w:fldChar w:fldCharType="begin"/>
          </w:r>
          <w:r>
            <w:rPr/>
            <w:instrText xml:space="preserve"> NUMPAGES </w:instrText>
          </w:r>
          <w:r>
            <w:rPr/>
            <w:fldChar w:fldCharType="separate"/>
          </w:r>
          <w:r>
            <w:rPr/>
            <w:t>77</w:t>
          </w:r>
          <w:r>
            <w:rPr/>
            <w:fldChar w:fldCharType="end"/>
          </w:r>
        </w:p>
      </w:tc>
    </w:tr>
  </w:tbl>
  <w:p>
    <w:pPr>
      <w:pStyle w:val="Footer"/>
      <w:spacing w:before="0" w:after="200"/>
      <w:rPr/>
    </w:pPr>
    <w:r>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0" w:after="200"/>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lineRule="auto" w:line="240" w:before="0" w:after="0"/>
      <w:rPr/>
    </w:pPr>
    <w:r>
      <w:rPr/>
      <w:drawing>
        <wp:anchor behindDoc="1" distT="0" distB="0" distL="0" distR="0" simplePos="0" locked="0" layoutInCell="0" allowOverlap="1" relativeHeight="79">
          <wp:simplePos x="0" y="0"/>
          <wp:positionH relativeFrom="page">
            <wp:align>center</wp:align>
          </wp:positionH>
          <wp:positionV relativeFrom="paragraph">
            <wp:posOffset>-219075</wp:posOffset>
          </wp:positionV>
          <wp:extent cx="1094105" cy="787400"/>
          <wp:effectExtent l="0" t="0" r="0" b="0"/>
          <wp:wrapNone/>
          <wp:docPr id="138" name="Picture 4" descr="A close-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Picture 4" descr="A close-up of a logo&#10;&#10;Description automatically generated"/>
                  <pic:cNvPicPr>
                    <a:picLocks noChangeAspect="1" noChangeArrowheads="1"/>
                  </pic:cNvPicPr>
                </pic:nvPicPr>
                <pic:blipFill>
                  <a:blip r:embed="rId1"/>
                  <a:stretch>
                    <a:fillRect/>
                  </a:stretch>
                </pic:blipFill>
                <pic:spPr bwMode="auto">
                  <a:xfrm>
                    <a:off x="0" y="0"/>
                    <a:ext cx="1094105" cy="787400"/>
                  </a:xfrm>
                  <a:prstGeom prst="rect">
                    <a:avLst/>
                  </a:prstGeom>
                  <a:noFill/>
                </pic:spPr>
              </pic:pic>
            </a:graphicData>
          </a:graphic>
        </wp:anchor>
      </w:drawing>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0" w:after="200"/>
      <w:jc w:val="center"/>
      <w:rPr/>
    </w:pPr>
    <w:r>
      <w:rPr/>
      <w:drawing>
        <wp:anchor behindDoc="1" distT="0" distB="0" distL="0" distR="0" simplePos="0" locked="0" layoutInCell="0" allowOverlap="1" relativeHeight="3">
          <wp:simplePos x="0" y="0"/>
          <wp:positionH relativeFrom="margin">
            <wp:align>center</wp:align>
          </wp:positionH>
          <wp:positionV relativeFrom="paragraph">
            <wp:posOffset>-140970</wp:posOffset>
          </wp:positionV>
          <wp:extent cx="1094105" cy="787400"/>
          <wp:effectExtent l="0" t="0" r="0" b="0"/>
          <wp:wrapNone/>
          <wp:docPr id="139" name="Image2" descr="A close-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Image2" descr="A close-up of a logo&#10;&#10;Description automatically generated"/>
                  <pic:cNvPicPr>
                    <a:picLocks noChangeAspect="1" noChangeArrowheads="1"/>
                  </pic:cNvPicPr>
                </pic:nvPicPr>
                <pic:blipFill>
                  <a:blip r:embed="rId1"/>
                  <a:stretch>
                    <a:fillRect/>
                  </a:stretch>
                </pic:blipFill>
                <pic:spPr bwMode="auto">
                  <a:xfrm>
                    <a:off x="0" y="0"/>
                    <a:ext cx="1094105" cy="787400"/>
                  </a:xfrm>
                  <a:prstGeom prst="rect">
                    <a:avLst/>
                  </a:prstGeom>
                  <a:noFill/>
                </pic:spPr>
              </pic:pic>
            </a:graphicData>
          </a:graphic>
        </wp:anchor>
      </w:drawing>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bullet"/>
      <w:lvlText w:val=""/>
      <w:lvlJc w:val="left"/>
      <w:pPr>
        <w:tabs>
          <w:tab w:val="num" w:pos="227"/>
        </w:tabs>
        <w:ind w:left="227" w:hanging="227"/>
      </w:pPr>
      <w:rPr>
        <w:rFonts w:ascii="Symbol" w:hAnsi="Symbol" w:cs="Symbol" w:hint="default"/>
      </w:rPr>
    </w:lvl>
    <w:lvl w:ilvl="1">
      <w:start w:val="1"/>
      <w:numFmt w:val="bullet"/>
      <w:lvlText w:val=""/>
      <w:lvlJc w:val="left"/>
      <w:pPr>
        <w:tabs>
          <w:tab w:val="num" w:pos="454"/>
        </w:tabs>
        <w:ind w:left="454" w:hanging="227"/>
      </w:pPr>
      <w:rPr>
        <w:rFonts w:ascii="Symbol" w:hAnsi="Symbol" w:cs="Symbol" w:hint="default"/>
      </w:rPr>
    </w:lvl>
    <w:lvl w:ilvl="2">
      <w:start w:val="1"/>
      <w:numFmt w:val="bullet"/>
      <w:lvlText w:val=""/>
      <w:lvlJc w:val="left"/>
      <w:pPr>
        <w:tabs>
          <w:tab w:val="num" w:pos="680"/>
        </w:tabs>
        <w:ind w:left="680" w:hanging="227"/>
      </w:pPr>
      <w:rPr>
        <w:rFonts w:ascii="Symbol" w:hAnsi="Symbol" w:cs="Symbol" w:hint="default"/>
      </w:rPr>
    </w:lvl>
    <w:lvl w:ilvl="3">
      <w:start w:val="1"/>
      <w:numFmt w:val="bullet"/>
      <w:lvlText w:val=""/>
      <w:lvlJc w:val="left"/>
      <w:pPr>
        <w:tabs>
          <w:tab w:val="num" w:pos="907"/>
        </w:tabs>
        <w:ind w:left="907" w:hanging="227"/>
      </w:pPr>
      <w:rPr>
        <w:rFonts w:ascii="Symbol" w:hAnsi="Symbol" w:cs="Symbol" w:hint="default"/>
      </w:rPr>
    </w:lvl>
    <w:lvl w:ilvl="4">
      <w:start w:val="1"/>
      <w:numFmt w:val="bullet"/>
      <w:lvlText w:val=""/>
      <w:lvlJc w:val="left"/>
      <w:pPr>
        <w:tabs>
          <w:tab w:val="num" w:pos="1134"/>
        </w:tabs>
        <w:ind w:left="1134" w:hanging="227"/>
      </w:pPr>
      <w:rPr>
        <w:rFonts w:ascii="Symbol" w:hAnsi="Symbol" w:cs="Symbol" w:hint="default"/>
      </w:rPr>
    </w:lvl>
    <w:lvl w:ilvl="5">
      <w:start w:val="1"/>
      <w:numFmt w:val="bullet"/>
      <w:lvlText w:val=""/>
      <w:lvlJc w:val="left"/>
      <w:pPr>
        <w:tabs>
          <w:tab w:val="num" w:pos="1361"/>
        </w:tabs>
        <w:ind w:left="1361" w:hanging="227"/>
      </w:pPr>
      <w:rPr>
        <w:rFonts w:ascii="Symbol" w:hAnsi="Symbol" w:cs="Symbol" w:hint="default"/>
      </w:rPr>
    </w:lvl>
    <w:lvl w:ilvl="6">
      <w:start w:val="1"/>
      <w:numFmt w:val="bullet"/>
      <w:lvlText w:val=""/>
      <w:lvlJc w:val="left"/>
      <w:pPr>
        <w:tabs>
          <w:tab w:val="num" w:pos="1587"/>
        </w:tabs>
        <w:ind w:left="1587" w:hanging="227"/>
      </w:pPr>
      <w:rPr>
        <w:rFonts w:ascii="Symbol" w:hAnsi="Symbol" w:cs="Symbol" w:hint="default"/>
      </w:rPr>
    </w:lvl>
    <w:lvl w:ilvl="7">
      <w:start w:val="1"/>
      <w:numFmt w:val="bullet"/>
      <w:lvlText w:val=""/>
      <w:lvlJc w:val="left"/>
      <w:pPr>
        <w:tabs>
          <w:tab w:val="num" w:pos="1814"/>
        </w:tabs>
        <w:ind w:left="1814" w:hanging="227"/>
      </w:pPr>
      <w:rPr>
        <w:rFonts w:ascii="Symbol" w:hAnsi="Symbol" w:cs="Symbol" w:hint="default"/>
      </w:rPr>
    </w:lvl>
    <w:lvl w:ilvl="8">
      <w:start w:val="1"/>
      <w:numFmt w:val="bullet"/>
      <w:lvlText w:val=""/>
      <w:lvlJc w:val="left"/>
      <w:pPr>
        <w:tabs>
          <w:tab w:val="num" w:pos="2041"/>
        </w:tabs>
        <w:ind w:left="2041" w:hanging="227"/>
      </w:pPr>
      <w:rPr>
        <w:rFonts w:ascii="Symbol" w:hAnsi="Symbol" w:cs="Symbol" w:hint="default"/>
      </w:rPr>
    </w:lvl>
  </w:abstractNum>
  <w:abstractNum w:abstractNumId="2">
    <w:lvl w:ilvl="0">
      <w:start w:val="1"/>
      <w:numFmt w:val="decimal"/>
      <w:suff w:val="space"/>
      <w:lvlText w:val="%1."/>
      <w:lvlJc w:val="left"/>
      <w:pPr>
        <w:tabs>
          <w:tab w:val="num" w:pos="0"/>
        </w:tabs>
        <w:ind w:left="360" w:hanging="360"/>
      </w:pPr>
      <w:rPr/>
    </w:lvl>
    <w:lvl w:ilvl="1">
      <w:start w:val="1"/>
      <w:numFmt w:val="decimal"/>
      <w:suff w:val="space"/>
      <w:lvlText w:val="%1.%2."/>
      <w:lvlJc w:val="left"/>
      <w:pPr>
        <w:tabs>
          <w:tab w:val="num" w:pos="0"/>
        </w:tabs>
        <w:ind w:left="851" w:hanging="567"/>
      </w:pPr>
      <w:rPr>
        <w:b/>
        <w:bCs/>
      </w:rPr>
    </w:lvl>
    <w:lvl w:ilvl="2">
      <w:start w:val="1"/>
      <w:numFmt w:val="decimal"/>
      <w:suff w:val="space"/>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3">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lvl w:ilvl="0">
      <w:start w:val="1"/>
      <w:numFmt w:val="bullet"/>
      <w:lvlText w:val=""/>
      <w:lvlJc w:val="left"/>
      <w:pPr>
        <w:tabs>
          <w:tab w:val="num" w:pos="227"/>
        </w:tabs>
        <w:ind w:left="227" w:hanging="227"/>
      </w:pPr>
      <w:rPr>
        <w:rFonts w:ascii="Symbol" w:hAnsi="Symbol" w:cs="Symbol" w:hint="default"/>
      </w:rPr>
    </w:lvl>
    <w:lvl w:ilvl="1">
      <w:start w:val="1"/>
      <w:numFmt w:val="bullet"/>
      <w:lvlText w:val=""/>
      <w:lvlJc w:val="left"/>
      <w:pPr>
        <w:tabs>
          <w:tab w:val="num" w:pos="454"/>
        </w:tabs>
        <w:ind w:left="454" w:hanging="227"/>
      </w:pPr>
      <w:rPr>
        <w:rFonts w:ascii="Symbol" w:hAnsi="Symbol" w:cs="Symbol" w:hint="default"/>
      </w:rPr>
    </w:lvl>
    <w:lvl w:ilvl="2">
      <w:start w:val="1"/>
      <w:numFmt w:val="bullet"/>
      <w:lvlText w:val=""/>
      <w:lvlJc w:val="left"/>
      <w:pPr>
        <w:tabs>
          <w:tab w:val="num" w:pos="680"/>
        </w:tabs>
        <w:ind w:left="680" w:hanging="227"/>
      </w:pPr>
      <w:rPr>
        <w:rFonts w:ascii="Symbol" w:hAnsi="Symbol" w:cs="Symbol" w:hint="default"/>
      </w:rPr>
    </w:lvl>
    <w:lvl w:ilvl="3">
      <w:start w:val="1"/>
      <w:numFmt w:val="bullet"/>
      <w:lvlText w:val=""/>
      <w:lvlJc w:val="left"/>
      <w:pPr>
        <w:tabs>
          <w:tab w:val="num" w:pos="907"/>
        </w:tabs>
        <w:ind w:left="907" w:hanging="227"/>
      </w:pPr>
      <w:rPr>
        <w:rFonts w:ascii="Symbol" w:hAnsi="Symbol" w:cs="Symbol" w:hint="default"/>
      </w:rPr>
    </w:lvl>
    <w:lvl w:ilvl="4">
      <w:start w:val="1"/>
      <w:numFmt w:val="bullet"/>
      <w:lvlText w:val=""/>
      <w:lvlJc w:val="left"/>
      <w:pPr>
        <w:tabs>
          <w:tab w:val="num" w:pos="1134"/>
        </w:tabs>
        <w:ind w:left="1134" w:hanging="227"/>
      </w:pPr>
      <w:rPr>
        <w:rFonts w:ascii="Symbol" w:hAnsi="Symbol" w:cs="Symbol" w:hint="default"/>
      </w:rPr>
    </w:lvl>
    <w:lvl w:ilvl="5">
      <w:start w:val="1"/>
      <w:numFmt w:val="bullet"/>
      <w:lvlText w:val=""/>
      <w:lvlJc w:val="left"/>
      <w:pPr>
        <w:tabs>
          <w:tab w:val="num" w:pos="1361"/>
        </w:tabs>
        <w:ind w:left="1361" w:hanging="227"/>
      </w:pPr>
      <w:rPr>
        <w:rFonts w:ascii="Symbol" w:hAnsi="Symbol" w:cs="Symbol" w:hint="default"/>
      </w:rPr>
    </w:lvl>
    <w:lvl w:ilvl="6">
      <w:start w:val="1"/>
      <w:numFmt w:val="bullet"/>
      <w:lvlText w:val=""/>
      <w:lvlJc w:val="left"/>
      <w:pPr>
        <w:tabs>
          <w:tab w:val="num" w:pos="1587"/>
        </w:tabs>
        <w:ind w:left="1587" w:hanging="227"/>
      </w:pPr>
      <w:rPr>
        <w:rFonts w:ascii="Symbol" w:hAnsi="Symbol" w:cs="Symbol" w:hint="default"/>
      </w:rPr>
    </w:lvl>
    <w:lvl w:ilvl="7">
      <w:start w:val="1"/>
      <w:numFmt w:val="bullet"/>
      <w:lvlText w:val=""/>
      <w:lvlJc w:val="left"/>
      <w:pPr>
        <w:tabs>
          <w:tab w:val="num" w:pos="1814"/>
        </w:tabs>
        <w:ind w:left="1814" w:hanging="227"/>
      </w:pPr>
      <w:rPr>
        <w:rFonts w:ascii="Symbol" w:hAnsi="Symbol" w:cs="Symbol" w:hint="default"/>
      </w:rPr>
    </w:lvl>
    <w:lvl w:ilvl="8">
      <w:start w:val="1"/>
      <w:numFmt w:val="bullet"/>
      <w:lvlText w:val=""/>
      <w:lvlJc w:val="left"/>
      <w:pPr>
        <w:tabs>
          <w:tab w:val="num" w:pos="2041"/>
        </w:tabs>
        <w:ind w:left="2041" w:hanging="227"/>
      </w:pPr>
      <w:rPr>
        <w:rFonts w:ascii="Symbol" w:hAnsi="Symbol" w:cs="Symbol" w:hint="default"/>
      </w:rPr>
    </w:lvl>
  </w:abstractNum>
  <w:abstractNum w:abstractNumId="8">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w="http://schemas.openxmlformats.org/wordprocessingml/2006/main">
  <w:zoom w:percent="100"/>
  <w:defaultTabStop w:val="1296"/>
  <w:autoHyphenation w:val="true"/>
  <w:hyphenationZone w:val="0"/>
  <w:compat>
    <w:doNotBreakWrappedTables/>
    <w:compatSetting w:name="compatibilityMode" w:uri="http://schemas.microsoft.com/office/word" w:val="12"/>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Times New Roman" w:cs="" w:asciiTheme="minorHAnsi" w:cstheme="minorBidi" w:hAnsiTheme="minorHAnsi"/>
        <w:sz w:val="22"/>
        <w:szCs w:val="22"/>
        <w:lang w:val="lt-LT" w:eastAsia="en-US" w:bidi="ar-SA"/>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0"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qFormat="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uiPriority="0"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5d7f84"/>
    <w:pPr>
      <w:widowControl/>
      <w:suppressAutoHyphens w:val="true"/>
      <w:bidi w:val="0"/>
      <w:spacing w:lineRule="auto" w:line="276" w:before="0" w:after="200"/>
      <w:jc w:val="left"/>
    </w:pPr>
    <w:rPr>
      <w:rFonts w:ascii="Times New Roman" w:hAnsi="Times New Roman" w:eastAsia="Times New Roman" w:cs="Times New Roman"/>
      <w:color w:val="auto"/>
      <w:kern w:val="0"/>
      <w:sz w:val="24"/>
      <w:szCs w:val="24"/>
      <w:lang w:val="lt-LT" w:eastAsia="en-US" w:bidi="ar-SA"/>
    </w:rPr>
  </w:style>
  <w:style w:type="paragraph" w:styleId="Heading1">
    <w:name w:val="heading 1"/>
    <w:basedOn w:val="Paprtekstas"/>
    <w:next w:val="Normal"/>
    <w:link w:val="Heading1Char"/>
    <w:uiPriority w:val="9"/>
    <w:qFormat/>
    <w:rsid w:val="009222f5"/>
    <w:pPr>
      <w:keepNext w:val="true"/>
      <w:keepLines/>
      <w:spacing w:before="240" w:after="120"/>
      <w:contextualSpacing/>
      <w:jc w:val="center"/>
      <w:outlineLvl w:val="0"/>
    </w:pPr>
    <w:rPr>
      <w:rFonts w:eastAsia="" w:cs="" w:cstheme="majorBidi" w:eastAsiaTheme="majorEastAsia"/>
      <w:szCs w:val="32"/>
    </w:rPr>
  </w:style>
  <w:style w:type="paragraph" w:styleId="Heading2">
    <w:name w:val="heading 2"/>
    <w:basedOn w:val="Normal"/>
    <w:next w:val="Normal"/>
    <w:link w:val="Heading2Char"/>
    <w:uiPriority w:val="9"/>
    <w:unhideWhenUsed/>
    <w:qFormat/>
    <w:rsid w:val="000a69a0"/>
    <w:pPr>
      <w:keepNext w:val="true"/>
      <w:keepLines/>
      <w:spacing w:before="40" w:after="0"/>
      <w:outlineLvl w:val="1"/>
    </w:pPr>
    <w:rPr>
      <w:rFonts w:ascii="Cambria" w:hAnsi="Cambria" w:eastAsia="" w:cs="" w:asciiTheme="majorHAnsi" w:cstheme="majorBidi" w:eastAsiaTheme="majorEastAsia" w:hAnsiTheme="majorHAnsi"/>
      <w:color w:themeColor="accent1" w:themeShade="bf" w:val="365F91"/>
      <w:sz w:val="26"/>
      <w:szCs w:val="26"/>
    </w:rPr>
  </w:style>
  <w:style w:type="paragraph" w:styleId="Heading3">
    <w:name w:val="heading 3"/>
    <w:basedOn w:val="Normal"/>
    <w:next w:val="Normal"/>
    <w:link w:val="Heading3Char"/>
    <w:uiPriority w:val="9"/>
    <w:unhideWhenUsed/>
    <w:qFormat/>
    <w:rsid w:val="000a69a0"/>
    <w:pPr>
      <w:keepNext w:val="true"/>
      <w:keepLines/>
      <w:spacing w:lineRule="auto" w:line="240" w:before="40" w:after="0"/>
      <w:outlineLvl w:val="2"/>
    </w:pPr>
    <w:rPr>
      <w:rFonts w:ascii="Cambria" w:hAnsi="Cambria" w:eastAsia="" w:cs="" w:asciiTheme="majorHAnsi" w:cstheme="majorBidi" w:eastAsiaTheme="majorEastAsia" w:hAnsiTheme="majorHAnsi"/>
      <w:color w:themeColor="accent1" w:themeShade="7f" w:val="243F60"/>
    </w:rPr>
  </w:style>
  <w:style w:type="paragraph" w:styleId="Heading4">
    <w:name w:val="heading 4"/>
    <w:basedOn w:val="Normal"/>
    <w:next w:val="Normal"/>
    <w:link w:val="Heading4Char"/>
    <w:qFormat/>
    <w:rsid w:val="007328fa"/>
    <w:pPr>
      <w:keepNext w:val="true"/>
      <w:spacing w:before="20" w:after="20"/>
      <w:outlineLvl w:val="3"/>
    </w:pPr>
    <w:rPr>
      <w:rFonts w:ascii="Arial" w:hAnsi="Arial" w:cs="Arial"/>
      <w:b/>
      <w:bCs/>
      <w:sz w:val="20"/>
      <w:szCs w:val="20"/>
    </w:rPr>
  </w:style>
  <w:style w:type="character" w:styleId="DefaultParagraphFont" w:default="1">
    <w:name w:val="Default Paragraph Font"/>
    <w:uiPriority w:val="1"/>
    <w:semiHidden/>
    <w:unhideWhenUsed/>
    <w:qFormat/>
    <w:rPr/>
  </w:style>
  <w:style w:type="character" w:styleId="HeaderChar" w:customStyle="1">
    <w:name w:val="Header Char"/>
    <w:basedOn w:val="DefaultParagraphFont"/>
    <w:uiPriority w:val="99"/>
    <w:qFormat/>
    <w:rsid w:val="005d7f84"/>
    <w:rPr>
      <w:rFonts w:ascii="Times New Roman" w:hAnsi="Times New Roman" w:cs="Times New Roman"/>
      <w:sz w:val="24"/>
      <w:szCs w:val="24"/>
      <w:lang w:val="x-none" w:eastAsia="x-none"/>
    </w:rPr>
  </w:style>
  <w:style w:type="character" w:styleId="FooterChar" w:customStyle="1">
    <w:name w:val="Footer Char"/>
    <w:basedOn w:val="DefaultParagraphFont"/>
    <w:uiPriority w:val="99"/>
    <w:qFormat/>
    <w:rsid w:val="005d7f84"/>
    <w:rPr>
      <w:rFonts w:ascii="Times New Roman" w:hAnsi="Times New Roman" w:cs="Times New Roman"/>
      <w:sz w:val="24"/>
      <w:szCs w:val="24"/>
    </w:rPr>
  </w:style>
  <w:style w:type="character" w:styleId="BalloonTextChar" w:customStyle="1">
    <w:name w:val="Balloon Text Char"/>
    <w:basedOn w:val="DefaultParagraphFont"/>
    <w:link w:val="BalloonText"/>
    <w:uiPriority w:val="99"/>
    <w:semiHidden/>
    <w:qFormat/>
    <w:rsid w:val="005d7f84"/>
    <w:rPr>
      <w:rFonts w:ascii="Tahoma" w:hAnsi="Tahoma" w:cs="Tahoma"/>
      <w:sz w:val="16"/>
      <w:szCs w:val="16"/>
    </w:rPr>
  </w:style>
  <w:style w:type="character" w:styleId="Heading4Char" w:customStyle="1">
    <w:name w:val="Heading 4 Char"/>
    <w:basedOn w:val="DefaultParagraphFont"/>
    <w:qFormat/>
    <w:rsid w:val="007328fa"/>
    <w:rPr>
      <w:rFonts w:ascii="Arial" w:hAnsi="Arial" w:cs="Arial"/>
      <w:b/>
      <w:bCs/>
      <w:sz w:val="20"/>
      <w:szCs w:val="20"/>
    </w:rPr>
  </w:style>
  <w:style w:type="character" w:styleId="Heading1Char" w:customStyle="1">
    <w:name w:val="Heading 1 Char"/>
    <w:basedOn w:val="DefaultParagraphFont"/>
    <w:uiPriority w:val="9"/>
    <w:qFormat/>
    <w:rsid w:val="009222f5"/>
    <w:rPr>
      <w:rFonts w:ascii="Arial" w:hAnsi="Arial" w:eastAsia="" w:cs="" w:cstheme="majorBidi" w:eastAsiaTheme="majorEastAsia"/>
      <w:sz w:val="20"/>
      <w:szCs w:val="32"/>
    </w:rPr>
  </w:style>
  <w:style w:type="character" w:styleId="PlaceholderText">
    <w:name w:val="Placeholder Text"/>
    <w:basedOn w:val="DefaultParagraphFont"/>
    <w:uiPriority w:val="99"/>
    <w:semiHidden/>
    <w:qFormat/>
    <w:rsid w:val="00555af0"/>
    <w:rPr>
      <w:color w:val="808080"/>
    </w:rPr>
  </w:style>
  <w:style w:type="character" w:styleId="Hyperlink">
    <w:name w:val="Hyperlink"/>
    <w:basedOn w:val="DefaultParagraphFont"/>
    <w:uiPriority w:val="99"/>
    <w:unhideWhenUsed/>
    <w:rsid w:val="0062286a"/>
    <w:rPr>
      <w:color w:themeColor="hyperlink" w:val="0000FF"/>
      <w:u w:val="single"/>
    </w:rPr>
  </w:style>
  <w:style w:type="character" w:styleId="UnresolvedMention">
    <w:name w:val="Unresolved Mention"/>
    <w:basedOn w:val="DefaultParagraphFont"/>
    <w:uiPriority w:val="99"/>
    <w:semiHidden/>
    <w:unhideWhenUsed/>
    <w:qFormat/>
    <w:rsid w:val="0062286a"/>
    <w:rPr>
      <w:color w:val="605E5C"/>
      <w:shd w:fill="E1DFDD" w:val="clear"/>
    </w:rPr>
  </w:style>
  <w:style w:type="character" w:styleId="Heading2Char" w:customStyle="1">
    <w:name w:val="Heading 2 Char"/>
    <w:basedOn w:val="DefaultParagraphFont"/>
    <w:uiPriority w:val="9"/>
    <w:qFormat/>
    <w:rsid w:val="000a69a0"/>
    <w:rPr>
      <w:rFonts w:ascii="Cambria" w:hAnsi="Cambria" w:eastAsia="" w:cs="" w:asciiTheme="majorHAnsi" w:cstheme="majorBidi" w:eastAsiaTheme="majorEastAsia" w:hAnsiTheme="majorHAnsi"/>
      <w:color w:themeColor="accent1" w:themeShade="bf" w:val="365F91"/>
      <w:sz w:val="26"/>
      <w:szCs w:val="26"/>
    </w:rPr>
  </w:style>
  <w:style w:type="character" w:styleId="Heading3Char" w:customStyle="1">
    <w:name w:val="Heading 3 Char"/>
    <w:basedOn w:val="DefaultParagraphFont"/>
    <w:uiPriority w:val="9"/>
    <w:qFormat/>
    <w:rsid w:val="000a69a0"/>
    <w:rPr>
      <w:rFonts w:ascii="Cambria" w:hAnsi="Cambria" w:eastAsia="" w:cs="" w:asciiTheme="majorHAnsi" w:cstheme="majorBidi" w:eastAsiaTheme="majorEastAsia" w:hAnsiTheme="majorHAnsi"/>
      <w:color w:themeColor="accent1" w:themeShade="7f" w:val="243F60"/>
      <w:sz w:val="24"/>
      <w:szCs w:val="24"/>
    </w:rPr>
  </w:style>
  <w:style w:type="character" w:styleId="ListParagraphChar" w:customStyle="1">
    <w:name w:val="List Paragraph Char"/>
    <w:link w:val="ListParagraph"/>
    <w:uiPriority w:val="34"/>
    <w:qFormat/>
    <w:rsid w:val="007e177c"/>
    <w:rPr>
      <w:rFonts w:ascii="Times New Roman" w:hAnsi="Times New Roman" w:cs="Times New Roman"/>
      <w:sz w:val="24"/>
      <w:szCs w:val="24"/>
    </w:rPr>
  </w:style>
  <w:style w:type="character" w:styleId="1LVLChar" w:customStyle="1">
    <w:name w:val="1 LVL Char"/>
    <w:basedOn w:val="Heading1Char"/>
    <w:link w:val="1LVL"/>
    <w:qFormat/>
    <w:rsid w:val="007e177c"/>
    <w:rPr>
      <w:rFonts w:ascii="Arial" w:hAnsi="Arial" w:eastAsia="" w:cs="Times New Roman" w:eastAsiaTheme="majorEastAsia"/>
      <w:b/>
      <w:caps/>
      <w:sz w:val="20"/>
      <w:szCs w:val="24"/>
    </w:rPr>
  </w:style>
  <w:style w:type="character" w:styleId="1PaprtekstChar" w:customStyle="1">
    <w:name w:val="1 Papr.tekst Char"/>
    <w:link w:val="1Paprtekst"/>
    <w:qFormat/>
    <w:locked/>
    <w:rsid w:val="006d1d06"/>
    <w:rPr>
      <w:rFonts w:ascii="Times New Roman" w:hAnsi="Times New Roman"/>
      <w:bCs/>
      <w:sz w:val="24"/>
      <w:szCs w:val="24"/>
      <w:lang w:eastAsia="en-AU"/>
    </w:rPr>
  </w:style>
  <w:style w:type="character" w:styleId="CommentReference">
    <w:name w:val="annotation reference"/>
    <w:basedOn w:val="DefaultParagraphFont"/>
    <w:uiPriority w:val="99"/>
    <w:semiHidden/>
    <w:unhideWhenUsed/>
    <w:qFormat/>
    <w:rsid w:val="006d1d06"/>
    <w:rPr>
      <w:sz w:val="16"/>
      <w:szCs w:val="16"/>
    </w:rPr>
  </w:style>
  <w:style w:type="character" w:styleId="CommentTextChar" w:customStyle="1">
    <w:name w:val="Comment Text Char"/>
    <w:basedOn w:val="DefaultParagraphFont"/>
    <w:uiPriority w:val="99"/>
    <w:qFormat/>
    <w:rsid w:val="006d1d06"/>
    <w:rPr>
      <w:rFonts w:ascii="Times New Roman" w:hAnsi="Times New Roman" w:cs="Times New Roman"/>
      <w:sz w:val="20"/>
      <w:szCs w:val="20"/>
    </w:rPr>
  </w:style>
  <w:style w:type="character" w:styleId="CommentSubjectChar" w:customStyle="1">
    <w:name w:val="Comment Subject Char"/>
    <w:basedOn w:val="CommentTextChar"/>
    <w:link w:val="annotationsubject"/>
    <w:uiPriority w:val="99"/>
    <w:semiHidden/>
    <w:qFormat/>
    <w:rsid w:val="006d1d06"/>
    <w:rPr>
      <w:rFonts w:ascii="Times New Roman" w:hAnsi="Times New Roman" w:cs="Times New Roman"/>
      <w:b/>
      <w:bCs/>
      <w:sz w:val="20"/>
      <w:szCs w:val="20"/>
    </w:rPr>
  </w:style>
  <w:style w:type="character" w:styleId="LLCTekstas" w:customStyle="1">
    <w:name w:val="LLCTekstas"/>
    <w:basedOn w:val="DefaultParagraphFont"/>
    <w:qFormat/>
    <w:rsid w:val="006d1d06"/>
    <w:rPr/>
  </w:style>
  <w:style w:type="character" w:styleId="1PaprtekstChar1" w:customStyle="1">
    <w:name w:val="1 Papr. tekst Char"/>
    <w:link w:val="1Paprtekst1"/>
    <w:qFormat/>
    <w:locked/>
    <w:rsid w:val="006d1d06"/>
    <w:rPr>
      <w:rFonts w:ascii="Times New Roman" w:hAnsi="Times New Roman"/>
      <w:sz w:val="24"/>
      <w:szCs w:val="24"/>
      <w:lang w:eastAsia="x-none"/>
    </w:rPr>
  </w:style>
  <w:style w:type="character" w:styleId="ParagrafasChar" w:customStyle="1">
    <w:name w:val="Paragrafas Char"/>
    <w:basedOn w:val="DefaultParagraphFont"/>
    <w:link w:val="Paragrafas"/>
    <w:qFormat/>
    <w:rsid w:val="006d1d06"/>
    <w:rPr>
      <w:rFonts w:ascii="Arial" w:hAnsi="Arial" w:cs="Times New Roman"/>
      <w:sz w:val="20"/>
      <w:lang w:eastAsia="ar-SA"/>
    </w:rPr>
  </w:style>
  <w:style w:type="character" w:styleId="BodyTextIndentChar" w:customStyle="1">
    <w:name w:val="Body Text Indent Char"/>
    <w:basedOn w:val="DefaultParagraphFont"/>
    <w:semiHidden/>
    <w:qFormat/>
    <w:rsid w:val="006d1d06"/>
    <w:rPr>
      <w:rFonts w:ascii="Arial" w:hAnsi="Arial" w:cs="Times New Roman"/>
      <w:sz w:val="20"/>
      <w:szCs w:val="20"/>
      <w:lang w:val="x-none" w:eastAsia="x-none"/>
    </w:rPr>
  </w:style>
  <w:style w:type="character" w:styleId="2SutraukaChar" w:customStyle="1">
    <w:name w:val="2 Su įtrauka Char"/>
    <w:link w:val="2Sutrauka"/>
    <w:qFormat/>
    <w:locked/>
    <w:rsid w:val="006d1d06"/>
    <w:rPr>
      <w:rFonts w:ascii="Times New Roman" w:hAnsi="Times New Roman" w:cs="Times New Roman"/>
      <w:szCs w:val="20"/>
    </w:rPr>
  </w:style>
  <w:style w:type="character" w:styleId="fontstyle01" w:customStyle="1">
    <w:name w:val="fontstyle01"/>
    <w:basedOn w:val="DefaultParagraphFont"/>
    <w:qFormat/>
    <w:rsid w:val="006d1d06"/>
    <w:rPr>
      <w:rFonts w:ascii="ArialMT" w:hAnsi="ArialMT"/>
      <w:b w:val="false"/>
      <w:bCs w:val="false"/>
      <w:i w:val="false"/>
      <w:iCs w:val="false"/>
      <w:color w:val="000000"/>
      <w:sz w:val="20"/>
      <w:szCs w:val="20"/>
    </w:rPr>
  </w:style>
  <w:style w:type="character" w:styleId="0PaprtekstChar" w:customStyle="1">
    <w:name w:val="0 Papr.tekst Char"/>
    <w:link w:val="0Paprtekst"/>
    <w:uiPriority w:val="99"/>
    <w:qFormat/>
    <w:locked/>
    <w:rsid w:val="006d1d06"/>
    <w:rPr>
      <w:rFonts w:ascii="Times New Roman" w:hAnsi="Times New Roman"/>
      <w:sz w:val="24"/>
      <w:szCs w:val="24"/>
    </w:rPr>
  </w:style>
  <w:style w:type="character" w:styleId="Rodyklssaitas">
    <w:name w:val="Rodyklės saitas"/>
    <w:qFormat/>
    <w:rPr/>
  </w:style>
  <w:style w:type="character" w:styleId="Numeravimosimboliai">
    <w:name w:val="Numeravimo simboliai"/>
    <w:qFormat/>
    <w:rPr/>
  </w:style>
  <w:style w:type="character" w:styleId="WW8Num2z0">
    <w:name w:val="WW8Num2z0"/>
    <w:qFormat/>
    <w:rPr>
      <w:rFonts w:ascii="Symbol" w:hAnsi="Symbol" w:cs="Symbol"/>
      <w:sz w:val="22"/>
      <w:szCs w:val="22"/>
    </w:rPr>
  </w:style>
  <w:style w:type="character" w:styleId="WW8Num2z1">
    <w:name w:val="WW8Num2z1"/>
    <w:qFormat/>
    <w:rPr>
      <w:rFonts w:ascii="OpenSymbol;Arial Unicode MS" w:hAnsi="OpenSymbol;Arial Unicode MS" w:cs="OpenSymbol;Arial Unicode MS"/>
    </w:rPr>
  </w:style>
  <w:style w:type="character" w:styleId="WW8Num5z0">
    <w:name w:val="WW8Num5z0"/>
    <w:qFormat/>
    <w:rPr>
      <w:rFonts w:ascii="Symbol" w:hAnsi="Symbol" w:cs="OpenSymbol;Arial Unicode MS"/>
    </w:rPr>
  </w:style>
  <w:style w:type="character" w:styleId="WW8Num5z1">
    <w:name w:val="WW8Num5z1"/>
    <w:qFormat/>
    <w:rPr>
      <w:rFonts w:ascii="OpenSymbol;Arial Unicode MS" w:hAnsi="OpenSymbol;Arial Unicode MS" w:cs="OpenSymbol;Arial Unicode MS"/>
    </w:rPr>
  </w:style>
  <w:style w:type="character" w:styleId="Strong">
    <w:name w:val="Strong"/>
    <w:qFormat/>
    <w:rPr>
      <w:b/>
      <w:bCs/>
    </w:rPr>
  </w:style>
  <w:style w:type="character" w:styleId="Bulletsuser">
    <w:name w:val="Bullets (user)"/>
    <w:qFormat/>
    <w:rPr>
      <w:rFonts w:ascii="OpenSymbol" w:hAnsi="OpenSymbol" w:eastAsia="OpenSymbol" w:cs="OpenSymbol"/>
    </w:rPr>
  </w:style>
  <w:style w:type="character" w:styleId="BodyTextChar">
    <w:name w:val="Body Text Char"/>
    <w:basedOn w:val="DefaultParagraphFont"/>
    <w:qFormat/>
    <w:rPr>
      <w:rFonts w:ascii="Poppins Medium" w:hAnsi="Poppins Medium" w:eastAsia="" w:cs="Times New Roman" w:eastAsiaTheme="minorEastAsia"/>
      <w:color w:themeColor="background2" w:themeShade="40" w:val="3B3838"/>
      <w:kern w:val="0"/>
      <w:sz w:val="24"/>
      <w:szCs w:val="24"/>
      <w14:ligatures w14:val="none"/>
    </w:rPr>
  </w:style>
  <w:style w:type="character" w:styleId="Numeravimosimboliaiuser">
    <w:name w:val="Numeravimo simboliai (user)"/>
    <w:qFormat/>
    <w:rPr/>
  </w:style>
  <w:style w:type="character" w:styleId="Bullets">
    <w:name w:val="Bullets"/>
    <w:qFormat/>
    <w:rPr>
      <w:rFonts w:ascii="OpenSymbol" w:hAnsi="OpenSymbol" w:eastAsia="OpenSymbol" w:cs="OpenSymbol"/>
    </w:rPr>
  </w:style>
  <w:style w:type="paragraph" w:styleId="Antrat">
    <w:name w:val="Antraštė"/>
    <w:basedOn w:val="Normal"/>
    <w:next w:val="BodyText"/>
    <w:qFormat/>
    <w:pPr>
      <w:keepNext w:val="true"/>
      <w:spacing w:before="240" w:after="120"/>
    </w:pPr>
    <w:rPr>
      <w:rFonts w:ascii="Liberation Sans" w:hAnsi="Liberation Sans" w:eastAsia="Microsoft YaHei" w:cs="Lucida Sans"/>
      <w:sz w:val="28"/>
      <w:szCs w:val="28"/>
    </w:rPr>
  </w:style>
  <w:style w:type="paragraph" w:styleId="BodyText">
    <w:name w:val="Body Text"/>
    <w:basedOn w:val="Normal"/>
    <w:pPr>
      <w:spacing w:lineRule="auto" w:line="276" w:before="0" w:after="140"/>
    </w:pPr>
    <w:rPr/>
  </w:style>
  <w:style w:type="paragraph" w:styleId="List">
    <w:name w:val="List"/>
    <w:basedOn w:val="BodyText"/>
    <w:pPr/>
    <w:rPr>
      <w:rFonts w:cs="Lucida Sans"/>
    </w:rPr>
  </w:style>
  <w:style w:type="paragraph" w:styleId="Caption">
    <w:name w:val="caption"/>
    <w:basedOn w:val="Paprtekstas"/>
    <w:next w:val="Paprtekstas"/>
    <w:uiPriority w:val="35"/>
    <w:unhideWhenUsed/>
    <w:qFormat/>
    <w:rsid w:val="005c1e42"/>
    <w:pPr>
      <w:spacing w:lineRule="auto" w:line="240"/>
      <w:ind w:hanging="0"/>
    </w:pPr>
    <w:rPr>
      <w:b/>
      <w:iCs/>
      <w:szCs w:val="18"/>
    </w:rPr>
  </w:style>
  <w:style w:type="paragraph" w:styleId="Rodykl">
    <w:name w:val="Rodyklė"/>
    <w:basedOn w:val="Normal"/>
    <w:qFormat/>
    <w:pPr>
      <w:suppressLineNumbers/>
    </w:pPr>
    <w:rPr>
      <w:rFonts w:cs="Lucida Sans"/>
    </w:rPr>
  </w:style>
  <w:style w:type="paragraph" w:styleId="Antratuser">
    <w:name w:val="Antraštė (user)"/>
    <w:basedOn w:val="Normal"/>
    <w:next w:val="BodyText"/>
    <w:qFormat/>
    <w:pPr>
      <w:keepNext w:val="true"/>
      <w:spacing w:before="240" w:after="120"/>
    </w:pPr>
    <w:rPr>
      <w:rFonts w:ascii="Liberation Sans" w:hAnsi="Liberation Sans" w:eastAsia="Microsoft YaHei" w:cs="Lucida Sans"/>
      <w:sz w:val="28"/>
      <w:szCs w:val="28"/>
    </w:rPr>
  </w:style>
  <w:style w:type="paragraph" w:styleId="Rodykluser">
    <w:name w:val="Rodyklė (user)"/>
    <w:basedOn w:val="Normal"/>
    <w:qFormat/>
    <w:pPr>
      <w:suppressLineNumbers/>
    </w:pPr>
    <w:rPr>
      <w:rFonts w:cs="Lucida Sans"/>
    </w:rPr>
  </w:style>
  <w:style w:type="paragraph" w:styleId="TOC1">
    <w:name w:val="toc 1"/>
    <w:basedOn w:val="Paprtekstas"/>
    <w:next w:val="Paprtekstas"/>
    <w:autoRedefine/>
    <w:uiPriority w:val="39"/>
    <w:qFormat/>
    <w:rsid w:val="003e0f3a"/>
    <w:pPr>
      <w:tabs>
        <w:tab w:val="clear" w:pos="1296"/>
        <w:tab w:val="left" w:pos="0" w:leader="none"/>
        <w:tab w:val="left" w:pos="400" w:leader="none"/>
        <w:tab w:val="right" w:pos="10205" w:leader="dot"/>
      </w:tabs>
      <w:spacing w:lineRule="auto" w:line="240" w:before="0" w:after="0"/>
      <w:ind w:hanging="0"/>
    </w:pPr>
    <w:rPr>
      <w:szCs w:val="20"/>
    </w:rPr>
  </w:style>
  <w:style w:type="paragraph" w:styleId="Paprtekstas" w:customStyle="1">
    <w:name w:val="Papr. tekstas"/>
    <w:basedOn w:val="Normal"/>
    <w:qFormat/>
    <w:rsid w:val="00c246d5"/>
    <w:pPr>
      <w:spacing w:before="0" w:after="120"/>
      <w:ind w:firstLine="851"/>
      <w:jc w:val="both"/>
    </w:pPr>
    <w:rPr>
      <w:rFonts w:ascii="Arial" w:hAnsi="Arial"/>
      <w:sz w:val="20"/>
    </w:rPr>
  </w:style>
  <w:style w:type="paragraph" w:styleId="2LVL" w:customStyle="1">
    <w:name w:val="2 LVL"/>
    <w:basedOn w:val="Normal"/>
    <w:qFormat/>
    <w:rsid w:val="00c246d5"/>
    <w:pPr>
      <w:numPr>
        <w:ilvl w:val="1"/>
        <w:numId w:val="2"/>
      </w:numPr>
      <w:spacing w:before="120" w:after="120"/>
    </w:pPr>
    <w:rPr>
      <w:rFonts w:ascii="Arial" w:hAnsi="Arial"/>
      <w:b/>
      <w:sz w:val="20"/>
    </w:rPr>
  </w:style>
  <w:style w:type="paragraph" w:styleId="HeaderandFooter">
    <w:name w:val="Header and Footer"/>
    <w:basedOn w:val="Normal"/>
    <w:qFormat/>
    <w:pPr/>
    <w:rPr/>
  </w:style>
  <w:style w:type="paragraph" w:styleId="Header">
    <w:name w:val="header"/>
    <w:basedOn w:val="Normal"/>
    <w:link w:val="HeaderChar"/>
    <w:uiPriority w:val="99"/>
    <w:rsid w:val="005d7f84"/>
    <w:pPr>
      <w:tabs>
        <w:tab w:val="clear" w:pos="1296"/>
        <w:tab w:val="center" w:pos="4153" w:leader="none"/>
        <w:tab w:val="right" w:pos="8306" w:leader="none"/>
      </w:tabs>
    </w:pPr>
    <w:rPr>
      <w:lang w:val="x-none" w:eastAsia="x-none"/>
    </w:rPr>
  </w:style>
  <w:style w:type="paragraph" w:styleId="Footer">
    <w:name w:val="footer"/>
    <w:basedOn w:val="Normal"/>
    <w:link w:val="FooterChar"/>
    <w:uiPriority w:val="99"/>
    <w:unhideWhenUsed/>
    <w:rsid w:val="005d7f84"/>
    <w:pPr>
      <w:tabs>
        <w:tab w:val="clear" w:pos="1296"/>
        <w:tab w:val="center" w:pos="4819" w:leader="none"/>
        <w:tab w:val="right" w:pos="9638" w:leader="none"/>
      </w:tabs>
    </w:pPr>
    <w:rPr/>
  </w:style>
  <w:style w:type="paragraph" w:styleId="1LVL" w:customStyle="1">
    <w:name w:val="1 LVL"/>
    <w:basedOn w:val="Normal"/>
    <w:link w:val="1LVLChar"/>
    <w:qFormat/>
    <w:rsid w:val="006b0130"/>
    <w:pPr>
      <w:numPr>
        <w:ilvl w:val="0"/>
        <w:numId w:val="2"/>
      </w:numPr>
      <w:spacing w:before="120" w:after="120"/>
    </w:pPr>
    <w:rPr>
      <w:rFonts w:ascii="Arial" w:hAnsi="Arial"/>
      <w:b/>
      <w:caps/>
      <w:sz w:val="20"/>
    </w:rPr>
  </w:style>
  <w:style w:type="paragraph" w:styleId="Tvarkingas" w:customStyle="1">
    <w:name w:val="Tvarkingas"/>
    <w:basedOn w:val="Normal"/>
    <w:qFormat/>
    <w:rsid w:val="005d7f84"/>
    <w:pPr>
      <w:spacing w:lineRule="auto" w:line="360"/>
      <w:ind w:firstLine="720"/>
      <w:jc w:val="both"/>
    </w:pPr>
    <w:rPr>
      <w:szCs w:val="20"/>
    </w:rPr>
  </w:style>
  <w:style w:type="paragraph" w:styleId="BalloonText">
    <w:name w:val="Balloon Text"/>
    <w:basedOn w:val="Normal"/>
    <w:link w:val="BalloonTextChar"/>
    <w:uiPriority w:val="99"/>
    <w:semiHidden/>
    <w:unhideWhenUsed/>
    <w:qFormat/>
    <w:rsid w:val="005d7f84"/>
    <w:pPr/>
    <w:rPr>
      <w:rFonts w:ascii="Tahoma" w:hAnsi="Tahoma" w:cs="Tahoma"/>
      <w:sz w:val="16"/>
      <w:szCs w:val="16"/>
    </w:rPr>
  </w:style>
  <w:style w:type="paragraph" w:styleId="Paprtekstas1" w:customStyle="1">
    <w:name w:val="Papr.tekstas"/>
    <w:basedOn w:val="Normal"/>
    <w:qFormat/>
    <w:rsid w:val="009c4e7a"/>
    <w:pPr>
      <w:ind w:firstLine="709"/>
      <w:jc w:val="both"/>
    </w:pPr>
    <w:rPr>
      <w:rFonts w:ascii="Arial" w:hAnsi="Arial"/>
      <w:sz w:val="20"/>
    </w:rPr>
  </w:style>
  <w:style w:type="paragraph" w:styleId="ListParagraph">
    <w:name w:val="List Paragraph"/>
    <w:basedOn w:val="Normal"/>
    <w:link w:val="ListParagraphChar"/>
    <w:uiPriority w:val="34"/>
    <w:qFormat/>
    <w:rsid w:val="00f91480"/>
    <w:pPr>
      <w:spacing w:before="0" w:after="200"/>
      <w:ind w:left="720"/>
      <w:contextualSpacing/>
    </w:pPr>
    <w:rPr/>
  </w:style>
  <w:style w:type="paragraph" w:styleId="Default" w:customStyle="1">
    <w:name w:val="Default"/>
    <w:qFormat/>
    <w:rsid w:val="00ed5b17"/>
    <w:pPr>
      <w:widowControl/>
      <w:suppressAutoHyphens w:val="true"/>
      <w:bidi w:val="0"/>
      <w:spacing w:lineRule="auto" w:line="240" w:before="0" w:after="0"/>
      <w:jc w:val="left"/>
    </w:pPr>
    <w:rPr>
      <w:rFonts w:ascii="Arial" w:hAnsi="Arial" w:eastAsia="Times New Roman" w:cs="Arial"/>
      <w:color w:val="000000"/>
      <w:kern w:val="0"/>
      <w:sz w:val="24"/>
      <w:szCs w:val="24"/>
      <w:lang w:val="en-US" w:eastAsia="en-US" w:bidi="ar-SA"/>
    </w:rPr>
  </w:style>
  <w:style w:type="paragraph" w:styleId="NoSpacing">
    <w:name w:val="No Spacing"/>
    <w:uiPriority w:val="1"/>
    <w:qFormat/>
    <w:rsid w:val="00a67c24"/>
    <w:pPr>
      <w:widowControl/>
      <w:suppressAutoHyphens w:val="true"/>
      <w:bidi w:val="0"/>
      <w:spacing w:lineRule="auto" w:line="240" w:before="0" w:after="0"/>
      <w:jc w:val="left"/>
    </w:pPr>
    <w:rPr>
      <w:rFonts w:ascii="Times New Roman" w:hAnsi="Times New Roman" w:eastAsia="Times New Roman" w:cs="Times New Roman"/>
      <w:color w:val="auto"/>
      <w:kern w:val="0"/>
      <w:sz w:val="24"/>
      <w:szCs w:val="24"/>
      <w:lang w:val="lt-LT" w:eastAsia="en-US" w:bidi="ar-SA"/>
    </w:rPr>
  </w:style>
  <w:style w:type="paragraph" w:styleId="IndexHeading">
    <w:name w:val="index heading"/>
    <w:basedOn w:val="Antrat"/>
    <w:pPr/>
    <w:rPr/>
  </w:style>
  <w:style w:type="paragraph" w:styleId="TOCHeading">
    <w:name w:val="TOC Heading"/>
    <w:basedOn w:val="Heading1"/>
    <w:next w:val="Normal"/>
    <w:uiPriority w:val="39"/>
    <w:unhideWhenUsed/>
    <w:qFormat/>
    <w:rsid w:val="000a69a0"/>
    <w:pPr>
      <w:spacing w:before="240" w:after="0"/>
      <w:ind w:hanging="0"/>
      <w:contextualSpacing w:val="false"/>
      <w:jc w:val="left"/>
      <w:outlineLvl w:val="9"/>
    </w:pPr>
    <w:rPr>
      <w:rFonts w:ascii="Cambria" w:hAnsi="Cambria" w:asciiTheme="majorHAnsi" w:hAnsiTheme="majorHAnsi"/>
      <w:color w:themeColor="accent1" w:themeShade="bf" w:val="365F91"/>
      <w:sz w:val="32"/>
    </w:rPr>
  </w:style>
  <w:style w:type="paragraph" w:styleId="3LVL" w:customStyle="1">
    <w:name w:val="3 LVL"/>
    <w:basedOn w:val="Normal"/>
    <w:qFormat/>
    <w:rsid w:val="00c246d5"/>
    <w:pPr>
      <w:keepNext w:val="true"/>
      <w:numPr>
        <w:ilvl w:val="2"/>
        <w:numId w:val="2"/>
      </w:numPr>
      <w:spacing w:before="120" w:after="120"/>
    </w:pPr>
    <w:rPr>
      <w:rFonts w:ascii="Arial" w:hAnsi="Arial"/>
      <w:b/>
      <w:sz w:val="20"/>
    </w:rPr>
  </w:style>
  <w:style w:type="paragraph" w:styleId="TOC2">
    <w:name w:val="toc 2"/>
    <w:basedOn w:val="Paprtekstas"/>
    <w:next w:val="Paprtekstas"/>
    <w:autoRedefine/>
    <w:uiPriority w:val="39"/>
    <w:unhideWhenUsed/>
    <w:rsid w:val="003e0f3a"/>
    <w:pPr>
      <w:tabs>
        <w:tab w:val="clear" w:pos="1296"/>
        <w:tab w:val="right" w:pos="10195" w:leader="dot"/>
      </w:tabs>
      <w:spacing w:lineRule="auto" w:line="240" w:before="0" w:after="0"/>
      <w:ind w:hanging="0"/>
    </w:pPr>
    <w:rPr/>
  </w:style>
  <w:style w:type="paragraph" w:styleId="TOC3">
    <w:name w:val="toc 3"/>
    <w:basedOn w:val="Paprtekstas"/>
    <w:next w:val="Paprtekstas"/>
    <w:autoRedefine/>
    <w:uiPriority w:val="39"/>
    <w:unhideWhenUsed/>
    <w:rsid w:val="003e0f3a"/>
    <w:pPr>
      <w:tabs>
        <w:tab w:val="clear" w:pos="1296"/>
        <w:tab w:val="right" w:pos="10195" w:leader="dot"/>
      </w:tabs>
      <w:spacing w:before="0" w:after="100"/>
      <w:ind w:hanging="0"/>
    </w:pPr>
    <w:rPr/>
  </w:style>
  <w:style w:type="paragraph" w:styleId="TOC4">
    <w:name w:val="toc 4"/>
    <w:basedOn w:val="Normal"/>
    <w:next w:val="Normal"/>
    <w:autoRedefine/>
    <w:uiPriority w:val="39"/>
    <w:unhideWhenUsed/>
    <w:rsid w:val="009d0116"/>
    <w:pPr>
      <w:spacing w:lineRule="auto" w:line="276" w:before="0" w:after="100"/>
      <w:ind w:left="720"/>
    </w:pPr>
    <w:rPr>
      <w:rFonts w:ascii="Calibri" w:hAnsi="Calibri" w:eastAsia="" w:cs="" w:asciiTheme="minorHAnsi" w:cstheme="minorBidi" w:eastAsiaTheme="minorEastAsia" w:hAnsiTheme="minorHAnsi"/>
      <w:kern w:val="2"/>
      <w:lang w:val="en-US" w:eastAsia="zh-CN"/>
      <w14:ligatures w14:val="standardContextual"/>
    </w:rPr>
  </w:style>
  <w:style w:type="paragraph" w:styleId="TOC5">
    <w:name w:val="toc 5"/>
    <w:basedOn w:val="Normal"/>
    <w:next w:val="Normal"/>
    <w:autoRedefine/>
    <w:uiPriority w:val="39"/>
    <w:unhideWhenUsed/>
    <w:rsid w:val="009d0116"/>
    <w:pPr>
      <w:spacing w:lineRule="auto" w:line="276" w:before="0" w:after="100"/>
      <w:ind w:left="960"/>
    </w:pPr>
    <w:rPr>
      <w:rFonts w:ascii="Calibri" w:hAnsi="Calibri" w:eastAsia="" w:cs="" w:asciiTheme="minorHAnsi" w:cstheme="minorBidi" w:eastAsiaTheme="minorEastAsia" w:hAnsiTheme="minorHAnsi"/>
      <w:kern w:val="2"/>
      <w:lang w:val="en-US" w:eastAsia="zh-CN"/>
      <w14:ligatures w14:val="standardContextual"/>
    </w:rPr>
  </w:style>
  <w:style w:type="paragraph" w:styleId="TOC6">
    <w:name w:val="toc 6"/>
    <w:basedOn w:val="Normal"/>
    <w:next w:val="Normal"/>
    <w:autoRedefine/>
    <w:uiPriority w:val="39"/>
    <w:unhideWhenUsed/>
    <w:rsid w:val="009d0116"/>
    <w:pPr>
      <w:spacing w:lineRule="auto" w:line="276" w:before="0" w:after="100"/>
      <w:ind w:left="1200"/>
    </w:pPr>
    <w:rPr>
      <w:rFonts w:ascii="Calibri" w:hAnsi="Calibri" w:eastAsia="" w:cs="" w:asciiTheme="minorHAnsi" w:cstheme="minorBidi" w:eastAsiaTheme="minorEastAsia" w:hAnsiTheme="minorHAnsi"/>
      <w:kern w:val="2"/>
      <w:lang w:val="en-US" w:eastAsia="zh-CN"/>
      <w14:ligatures w14:val="standardContextual"/>
    </w:rPr>
  </w:style>
  <w:style w:type="paragraph" w:styleId="TOC7">
    <w:name w:val="toc 7"/>
    <w:basedOn w:val="Normal"/>
    <w:next w:val="Normal"/>
    <w:autoRedefine/>
    <w:uiPriority w:val="39"/>
    <w:unhideWhenUsed/>
    <w:rsid w:val="009d0116"/>
    <w:pPr>
      <w:spacing w:lineRule="auto" w:line="276" w:before="0" w:after="100"/>
      <w:ind w:left="1440"/>
    </w:pPr>
    <w:rPr>
      <w:rFonts w:ascii="Calibri" w:hAnsi="Calibri" w:eastAsia="" w:cs="" w:asciiTheme="minorHAnsi" w:cstheme="minorBidi" w:eastAsiaTheme="minorEastAsia" w:hAnsiTheme="minorHAnsi"/>
      <w:kern w:val="2"/>
      <w:lang w:val="en-US" w:eastAsia="zh-CN"/>
      <w14:ligatures w14:val="standardContextual"/>
    </w:rPr>
  </w:style>
  <w:style w:type="paragraph" w:styleId="TOC8">
    <w:name w:val="toc 8"/>
    <w:basedOn w:val="Normal"/>
    <w:next w:val="Normal"/>
    <w:autoRedefine/>
    <w:uiPriority w:val="39"/>
    <w:unhideWhenUsed/>
    <w:rsid w:val="009d0116"/>
    <w:pPr>
      <w:spacing w:lineRule="auto" w:line="276" w:before="0" w:after="100"/>
      <w:ind w:left="1680"/>
    </w:pPr>
    <w:rPr>
      <w:rFonts w:ascii="Calibri" w:hAnsi="Calibri" w:eastAsia="" w:cs="" w:asciiTheme="minorHAnsi" w:cstheme="minorBidi" w:eastAsiaTheme="minorEastAsia" w:hAnsiTheme="minorHAnsi"/>
      <w:kern w:val="2"/>
      <w:lang w:val="en-US" w:eastAsia="zh-CN"/>
      <w14:ligatures w14:val="standardContextual"/>
    </w:rPr>
  </w:style>
  <w:style w:type="paragraph" w:styleId="TOC9">
    <w:name w:val="toc 9"/>
    <w:basedOn w:val="Normal"/>
    <w:next w:val="Normal"/>
    <w:autoRedefine/>
    <w:uiPriority w:val="39"/>
    <w:unhideWhenUsed/>
    <w:rsid w:val="009d0116"/>
    <w:pPr>
      <w:spacing w:lineRule="auto" w:line="276" w:before="0" w:after="100"/>
      <w:ind w:left="1920"/>
    </w:pPr>
    <w:rPr>
      <w:rFonts w:ascii="Calibri" w:hAnsi="Calibri" w:eastAsia="" w:cs="" w:asciiTheme="minorHAnsi" w:cstheme="minorBidi" w:eastAsiaTheme="minorEastAsia" w:hAnsiTheme="minorHAnsi"/>
      <w:kern w:val="2"/>
      <w:lang w:val="en-US" w:eastAsia="zh-CN"/>
      <w14:ligatures w14:val="standardContextual"/>
    </w:rPr>
  </w:style>
  <w:style w:type="paragraph" w:styleId="1Paprtekst" w:customStyle="1">
    <w:name w:val="1 Papr.tekst"/>
    <w:basedOn w:val="Normal"/>
    <w:link w:val="1PaprtekstChar"/>
    <w:autoRedefine/>
    <w:qFormat/>
    <w:rsid w:val="006d1d06"/>
    <w:pPr>
      <w:overflowPunct w:val="false"/>
      <w:spacing w:lineRule="auto" w:line="360" w:before="0" w:after="0"/>
      <w:ind w:firstLine="567"/>
      <w:jc w:val="both"/>
    </w:pPr>
    <w:rPr>
      <w:rFonts w:cs="" w:cstheme="minorBidi"/>
      <w:bCs/>
      <w:lang w:eastAsia="en-AU"/>
    </w:rPr>
  </w:style>
  <w:style w:type="paragraph" w:styleId="0lentel" w:customStyle="1">
    <w:name w:val="0.lentelė"/>
    <w:basedOn w:val="Normal"/>
    <w:autoRedefine/>
    <w:qFormat/>
    <w:rsid w:val="006d1d06"/>
    <w:pPr>
      <w:overflowPunct w:val="false"/>
      <w:spacing w:before="0" w:after="60"/>
    </w:pPr>
    <w:rPr>
      <w:sz w:val="22"/>
    </w:rPr>
  </w:style>
  <w:style w:type="paragraph" w:styleId="CommentText">
    <w:name w:val="annotation text"/>
    <w:basedOn w:val="Normal"/>
    <w:link w:val="CommentTextChar"/>
    <w:uiPriority w:val="99"/>
    <w:unhideWhenUsed/>
    <w:rsid w:val="006d1d06"/>
    <w:pPr>
      <w:spacing w:lineRule="auto" w:line="240" w:before="0" w:after="0"/>
    </w:pPr>
    <w:rPr>
      <w:sz w:val="20"/>
      <w:szCs w:val="20"/>
    </w:rPr>
  </w:style>
  <w:style w:type="paragraph" w:styleId="annotationsubject">
    <w:name w:val="annotation subject"/>
    <w:basedOn w:val="CommentText"/>
    <w:next w:val="CommentText"/>
    <w:link w:val="CommentSubjectChar"/>
    <w:uiPriority w:val="99"/>
    <w:semiHidden/>
    <w:unhideWhenUsed/>
    <w:qFormat/>
    <w:rsid w:val="006d1d06"/>
    <w:pPr/>
    <w:rPr>
      <w:b/>
      <w:bCs/>
    </w:rPr>
  </w:style>
  <w:style w:type="paragraph" w:styleId="1Paprtekst1" w:customStyle="1">
    <w:name w:val="1 Papr. tekst"/>
    <w:basedOn w:val="Normal"/>
    <w:link w:val="1PaprtekstChar1"/>
    <w:autoRedefine/>
    <w:qFormat/>
    <w:rsid w:val="006d1d06"/>
    <w:pPr>
      <w:overflowPunct w:val="false"/>
      <w:spacing w:lineRule="auto" w:line="360" w:before="0" w:after="0"/>
      <w:ind w:firstLine="567"/>
      <w:jc w:val="both"/>
    </w:pPr>
    <w:rPr>
      <w:rFonts w:cs="" w:cstheme="minorBidi"/>
      <w:lang w:eastAsia="x-none"/>
    </w:rPr>
  </w:style>
  <w:style w:type="paragraph" w:styleId="TableParagraph" w:customStyle="1">
    <w:name w:val="Table Paragraph"/>
    <w:basedOn w:val="Normal"/>
    <w:uiPriority w:val="1"/>
    <w:qFormat/>
    <w:rsid w:val="006d1d06"/>
    <w:pPr>
      <w:widowControl w:val="false"/>
      <w:spacing w:lineRule="auto" w:line="240" w:before="60" w:after="60"/>
    </w:pPr>
    <w:rPr>
      <w:rFonts w:ascii="Arial" w:hAnsi="Arial" w:eastAsia="" w:eastAsiaTheme="minorEastAsia"/>
      <w:sz w:val="20"/>
      <w:lang w:val="en-US"/>
    </w:rPr>
  </w:style>
  <w:style w:type="paragraph" w:styleId="Paragrafas" w:customStyle="1">
    <w:name w:val="Paragrafas"/>
    <w:basedOn w:val="Normal"/>
    <w:link w:val="ParagrafasChar"/>
    <w:qFormat/>
    <w:rsid w:val="006d1d06"/>
    <w:pPr>
      <w:suppressAutoHyphens w:val="true"/>
      <w:spacing w:before="0" w:after="120"/>
      <w:ind w:firstLine="680"/>
      <w:jc w:val="both"/>
    </w:pPr>
    <w:rPr>
      <w:rFonts w:ascii="Arial" w:hAnsi="Arial"/>
      <w:sz w:val="20"/>
      <w:szCs w:val="22"/>
      <w:lang w:eastAsia="ar-SA"/>
    </w:rPr>
  </w:style>
  <w:style w:type="paragraph" w:styleId="0lentel1" w:customStyle="1">
    <w:name w:val="0. lentelė"/>
    <w:basedOn w:val="Normal"/>
    <w:autoRedefine/>
    <w:qFormat/>
    <w:rsid w:val="006d1d06"/>
    <w:pPr>
      <w:overflowPunct w:val="false"/>
      <w:spacing w:before="0" w:after="60"/>
    </w:pPr>
    <w:rPr>
      <w:sz w:val="22"/>
    </w:rPr>
  </w:style>
  <w:style w:type="paragraph" w:styleId="2lygis1" w:customStyle="1">
    <w:name w:val="2 lygis1"/>
    <w:basedOn w:val="Normal"/>
    <w:autoRedefine/>
    <w:qFormat/>
    <w:rsid w:val="006d1d06"/>
    <w:pPr>
      <w:overflowPunct w:val="false"/>
      <w:spacing w:lineRule="auto" w:line="360" w:before="0" w:after="0"/>
      <w:ind w:firstLine="567"/>
      <w:textAlignment w:val="baseline"/>
    </w:pPr>
    <w:rPr>
      <w:rFonts w:ascii="Arial" w:hAnsi="Arial" w:cs="Arial"/>
      <w:sz w:val="20"/>
      <w:szCs w:val="20"/>
    </w:rPr>
  </w:style>
  <w:style w:type="paragraph" w:styleId="BodyTextIndent">
    <w:name w:val="Body Text Indent"/>
    <w:basedOn w:val="Normal"/>
    <w:link w:val="BodyTextIndentChar"/>
    <w:semiHidden/>
    <w:rsid w:val="006d1d06"/>
    <w:pPr>
      <w:overflowPunct w:val="false"/>
      <w:spacing w:lineRule="auto" w:line="360" w:before="0" w:after="0"/>
      <w:ind w:firstLine="720"/>
      <w:jc w:val="both"/>
      <w:textAlignment w:val="baseline"/>
    </w:pPr>
    <w:rPr>
      <w:rFonts w:ascii="Arial" w:hAnsi="Arial"/>
      <w:sz w:val="20"/>
      <w:szCs w:val="20"/>
      <w:lang w:val="x-none" w:eastAsia="x-none"/>
    </w:rPr>
  </w:style>
  <w:style w:type="paragraph" w:styleId="0Punktai" w:customStyle="1">
    <w:name w:val="0 Punktai"/>
    <w:basedOn w:val="1Paprtekst1"/>
    <w:qFormat/>
    <w:rsid w:val="006d1d06"/>
    <w:pPr>
      <w:numPr>
        <w:ilvl w:val="0"/>
        <w:numId w:val="3"/>
      </w:numPr>
      <w:ind w:left="360"/>
      <w:textAlignment w:val="baseline"/>
    </w:pPr>
    <w:rPr>
      <w:lang w:val="x-none"/>
    </w:rPr>
  </w:style>
  <w:style w:type="paragraph" w:styleId="2Sutrauka" w:customStyle="1">
    <w:name w:val="2 Su įtrauka"/>
    <w:basedOn w:val="Normal"/>
    <w:link w:val="2SutraukaChar"/>
    <w:qFormat/>
    <w:rsid w:val="006d1d06"/>
    <w:pPr>
      <w:spacing w:lineRule="auto" w:line="240" w:before="0" w:after="0"/>
      <w:ind w:firstLine="567"/>
      <w:jc w:val="both"/>
    </w:pPr>
    <w:rPr>
      <w:sz w:val="22"/>
      <w:szCs w:val="20"/>
    </w:rPr>
  </w:style>
  <w:style w:type="paragraph" w:styleId="0Paprtekst" w:customStyle="1">
    <w:name w:val="0 Papr.tekst"/>
    <w:basedOn w:val="Normal"/>
    <w:link w:val="0PaprtekstChar"/>
    <w:autoRedefine/>
    <w:uiPriority w:val="99"/>
    <w:qFormat/>
    <w:rsid w:val="006d1d06"/>
    <w:pPr>
      <w:overflowPunct w:val="false"/>
      <w:spacing w:lineRule="auto" w:line="360" w:before="0" w:after="0"/>
      <w:ind w:firstLine="709"/>
      <w:jc w:val="both"/>
    </w:pPr>
    <w:rPr>
      <w:rFonts w:cs="" w:cstheme="minorBidi"/>
    </w:rPr>
  </w:style>
  <w:style w:type="paragraph" w:styleId="Lentelsturinys">
    <w:name w:val="Lentelės turinys"/>
    <w:basedOn w:val="Normal"/>
    <w:qFormat/>
    <w:pPr>
      <w:widowControl w:val="false"/>
      <w:suppressLineNumbers/>
    </w:pPr>
    <w:rPr/>
  </w:style>
  <w:style w:type="paragraph" w:styleId="Lentelsantrat">
    <w:name w:val="Lentelės antraštė"/>
    <w:basedOn w:val="Lentelsturinys"/>
    <w:qFormat/>
    <w:pPr>
      <w:suppressLineNumbers/>
      <w:jc w:val="center"/>
    </w:pPr>
    <w:rPr>
      <w:b/>
      <w:bCs/>
    </w:rPr>
  </w:style>
  <w:style w:type="paragraph" w:styleId="Lentelsturinysuser">
    <w:name w:val="Lentelės turinys (user)"/>
    <w:basedOn w:val="Normal"/>
    <w:qFormat/>
    <w:pPr>
      <w:suppressLineNumbers/>
    </w:pPr>
    <w:rPr/>
  </w:style>
  <w:style w:type="paragraph" w:styleId="lentel">
    <w:name w:val="lentelė"/>
    <w:basedOn w:val="Caption"/>
    <w:qFormat/>
    <w:pPr/>
    <w:rPr/>
  </w:style>
  <w:style w:type="paragraph" w:styleId="Comment">
    <w:name w:val="Comment"/>
    <w:basedOn w:val="Normal"/>
    <w:qFormat/>
    <w:pPr>
      <w:spacing w:before="56" w:after="0"/>
      <w:ind w:left="56" w:right="56"/>
    </w:pPr>
    <w:rPr>
      <w:sz w:val="20"/>
      <w:szCs w:val="20"/>
    </w:rPr>
  </w:style>
  <w:style w:type="paragraph" w:styleId="iliustracija">
    <w:name w:val="iliustracija"/>
    <w:basedOn w:val="Caption"/>
    <w:qFormat/>
    <w:pPr/>
    <w:rPr/>
  </w:style>
  <w:style w:type="paragraph" w:styleId="FrameContents">
    <w:name w:val="Frame Contents"/>
    <w:basedOn w:val="Normal"/>
    <w:qFormat/>
    <w:pPr/>
    <w:rPr/>
  </w:style>
  <w:style w:type="paragraph" w:styleId="paveikslas">
    <w:name w:val="paveikslas"/>
    <w:basedOn w:val="Caption"/>
    <w:qFormat/>
    <w:pPr/>
    <w:rPr/>
  </w:style>
  <w:style w:type="paragraph" w:styleId="Kadroturinys">
    <w:name w:val="Kadro turinys"/>
    <w:basedOn w:val="Normal"/>
    <w:qFormat/>
    <w:pPr/>
    <w:rPr/>
  </w:style>
  <w:style w:type="paragraph" w:styleId="Kadroturinysuser">
    <w:name w:val="Kadro turinys (user)"/>
    <w:basedOn w:val="Normal"/>
    <w:qFormat/>
    <w:pPr/>
    <w:rPr/>
  </w:style>
  <w:style w:type="paragraph" w:styleId="Lentelsantratuser">
    <w:name w:val="Lentelės antraštė (user)"/>
    <w:basedOn w:val="Lentelsturinysuser"/>
    <w:qFormat/>
    <w:pPr>
      <w:suppressLineNumbers/>
      <w:jc w:val="center"/>
    </w:pPr>
    <w:rPr>
      <w:b/>
      <w:bCs/>
    </w:rPr>
  </w:style>
  <w:style w:type="numbering" w:styleId="NoList" w:default="1">
    <w:name w:val="No List"/>
    <w:uiPriority w:val="99"/>
    <w:semiHidden/>
    <w:unhideWhenUsed/>
    <w:qFormat/>
  </w:style>
  <w:style w:type="numbering" w:styleId="Numeravimas123">
    <w:name w:val="Numeravimas 123"/>
    <w:qFormat/>
  </w:style>
  <w:style w:type="numbering" w:styleId="WW8Num2">
    <w:name w:val="WW8Num2"/>
    <w:qFormat/>
  </w:style>
  <w:style w:type="numbering" w:styleId="WW8Num5">
    <w:name w:val="WW8Num5"/>
    <w:qFormat/>
  </w:style>
  <w:style w:type="numbering" w:styleId="Bulletuser">
    <w:name w:val="Bullet • (user)"/>
    <w:qFormat/>
  </w:style>
  <w:style w:type="table" w:default="1" w:styleId="TableNormal">
    <w:name w:val="Normal Table"/>
    <w:uiPriority w:val="99"/>
    <w:semiHidden/>
    <w:unhideWhenUsed/>
    <w:tblPr>
      <w:tblCellMar>
        <w:top w:w="0" w:type="dxa"/>
        <w:left w:w="108" w:type="dxa"/>
        <w:bottom w:w="0" w:type="dxa"/>
        <w:right w:w="108" w:type="dxa"/>
      </w:tblCellMar>
    </w:tblPr>
  </w:style>
  <w:style w:type="table" w:styleId="TableGrid">
    <w:name w:val="Table Grid"/>
    <w:basedOn w:val="TableNormal"/>
    <w:uiPriority w:val="39"/>
    <w:rsid w:val="00b63eb5"/>
    <w:pPr>
      <w:spacing w:after="0" w:line="240" w:lineRule="auto"/>
    </w:pPr>
    <w:rPr>
      <w:rFonts w:eastAsiaTheme="minorHAnsi"/>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TableGrid1">
    <w:name w:val="Table Grid1"/>
    <w:basedOn w:val="TableNormal"/>
    <w:uiPriority w:val="39"/>
    <w:rsid w:val="000a69a0"/>
    <w:pPr>
      <w:spacing w:after="0" w:line="240" w:lineRule="auto"/>
    </w:pPr>
    <w:rPr>
      <w:lang w:eastAsia="lt-LT"/>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Lentelstinklelis1">
    <w:name w:val="Lentelės tinklelis1"/>
    <w:basedOn w:val="TableNormal"/>
    <w:uiPriority w:val="39"/>
    <w:rsid w:val="000c511f"/>
    <w:pPr>
      <w:spacing w:after="0" w:line="240" w:lineRule="auto"/>
    </w:pPr>
    <w:rPr>
      <w:lang w:eastAsia="lt-LT"/>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image" Target="media/image2.jpeg"/><Relationship Id="rId4" Type="http://schemas.openxmlformats.org/officeDocument/2006/relationships/image" Target="media/image3.png"/><Relationship Id="rId5" Type="http://schemas.openxmlformats.org/officeDocument/2006/relationships/image" Target="media/image4.png"/><Relationship Id="rId6" Type="http://schemas.openxmlformats.org/officeDocument/2006/relationships/image" Target="media/image5.png"/><Relationship Id="rId7" Type="http://schemas.openxmlformats.org/officeDocument/2006/relationships/image" Target="media/image6.png"/><Relationship Id="rId8" Type="http://schemas.openxmlformats.org/officeDocument/2006/relationships/image" Target="media/image7.png"/><Relationship Id="rId9" Type="http://schemas.openxmlformats.org/officeDocument/2006/relationships/image" Target="media/image8.png"/><Relationship Id="rId10" Type="http://schemas.openxmlformats.org/officeDocument/2006/relationships/image" Target="media/image8.png"/><Relationship Id="rId11" Type="http://schemas.openxmlformats.org/officeDocument/2006/relationships/image" Target="media/image9.jpeg"/><Relationship Id="rId12" Type="http://schemas.openxmlformats.org/officeDocument/2006/relationships/image" Target="media/image10.png"/><Relationship Id="rId13" Type="http://schemas.openxmlformats.org/officeDocument/2006/relationships/image" Target="media/image11.jpeg"/><Relationship Id="rId14" Type="http://schemas.openxmlformats.org/officeDocument/2006/relationships/image" Target="media/image12.png"/><Relationship Id="rId15" Type="http://schemas.openxmlformats.org/officeDocument/2006/relationships/image" Target="media/image13.png"/><Relationship Id="rId16" Type="http://schemas.openxmlformats.org/officeDocument/2006/relationships/image" Target="media/image14.jpeg"/><Relationship Id="rId17" Type="http://schemas.openxmlformats.org/officeDocument/2006/relationships/image" Target="media/image14.jpeg"/><Relationship Id="rId18" Type="http://schemas.openxmlformats.org/officeDocument/2006/relationships/image" Target="media/image14.jpeg"/><Relationship Id="rId19" Type="http://schemas.openxmlformats.org/officeDocument/2006/relationships/image" Target="media/image14.jpeg"/><Relationship Id="rId20" Type="http://schemas.openxmlformats.org/officeDocument/2006/relationships/image" Target="media/image14.jpeg"/><Relationship Id="rId21" Type="http://schemas.openxmlformats.org/officeDocument/2006/relationships/image" Target="media/image14.jpeg"/><Relationship Id="rId22" Type="http://schemas.openxmlformats.org/officeDocument/2006/relationships/image" Target="media/image14.jpeg"/><Relationship Id="rId23" Type="http://schemas.openxmlformats.org/officeDocument/2006/relationships/image" Target="media/image15.png"/><Relationship Id="rId24" Type="http://schemas.openxmlformats.org/officeDocument/2006/relationships/image" Target="media/image16.jpeg"/><Relationship Id="rId25" Type="http://schemas.openxmlformats.org/officeDocument/2006/relationships/image" Target="media/image17.jpeg"/><Relationship Id="rId26" Type="http://schemas.openxmlformats.org/officeDocument/2006/relationships/image" Target="media/image17.jpeg"/><Relationship Id="rId27" Type="http://schemas.openxmlformats.org/officeDocument/2006/relationships/image" Target="media/image18.png"/><Relationship Id="rId28" Type="http://schemas.openxmlformats.org/officeDocument/2006/relationships/image" Target="media/image14.jpeg"/><Relationship Id="rId29" Type="http://schemas.openxmlformats.org/officeDocument/2006/relationships/image" Target="media/image19.jpeg"/><Relationship Id="rId30" Type="http://schemas.openxmlformats.org/officeDocument/2006/relationships/image" Target="media/image20.jpeg"/><Relationship Id="rId31" Type="http://schemas.openxmlformats.org/officeDocument/2006/relationships/image" Target="media/image21.jpeg"/><Relationship Id="rId32" Type="http://schemas.openxmlformats.org/officeDocument/2006/relationships/image" Target="media/image22.jpeg"/><Relationship Id="rId33" Type="http://schemas.openxmlformats.org/officeDocument/2006/relationships/image" Target="media/image23.jpeg"/><Relationship Id="rId34" Type="http://schemas.openxmlformats.org/officeDocument/2006/relationships/image" Target="media/image24.jpeg"/><Relationship Id="rId35" Type="http://schemas.openxmlformats.org/officeDocument/2006/relationships/image" Target="media/image25.jpeg"/><Relationship Id="rId36" Type="http://schemas.openxmlformats.org/officeDocument/2006/relationships/image" Target="media/image26.png"/><Relationship Id="rId37" Type="http://schemas.openxmlformats.org/officeDocument/2006/relationships/image" Target="media/image27.jpeg"/><Relationship Id="rId38" Type="http://schemas.openxmlformats.org/officeDocument/2006/relationships/image" Target="media/image28.jpeg"/><Relationship Id="rId39" Type="http://schemas.openxmlformats.org/officeDocument/2006/relationships/image" Target="media/image29.jpeg"/><Relationship Id="rId40" Type="http://schemas.openxmlformats.org/officeDocument/2006/relationships/image" Target="media/image30.jpeg"/><Relationship Id="rId41" Type="http://schemas.openxmlformats.org/officeDocument/2006/relationships/image" Target="media/image31.jpeg"/><Relationship Id="rId42" Type="http://schemas.openxmlformats.org/officeDocument/2006/relationships/image" Target="media/image32.jpeg"/><Relationship Id="rId43" Type="http://schemas.openxmlformats.org/officeDocument/2006/relationships/image" Target="media/image33.png"/><Relationship Id="rId44" Type="http://schemas.openxmlformats.org/officeDocument/2006/relationships/image" Target="media/image34.jpeg"/><Relationship Id="rId45" Type="http://schemas.openxmlformats.org/officeDocument/2006/relationships/image" Target="media/image35.jpeg"/><Relationship Id="rId46" Type="http://schemas.openxmlformats.org/officeDocument/2006/relationships/image" Target="media/image36.png"/><Relationship Id="rId47" Type="http://schemas.openxmlformats.org/officeDocument/2006/relationships/image" Target="media/image37.jpeg"/><Relationship Id="rId48" Type="http://schemas.openxmlformats.org/officeDocument/2006/relationships/oleObject" Target="embeddings/oleObject1.bin"/><Relationship Id="rId49" Type="http://schemas.openxmlformats.org/officeDocument/2006/relationships/image" Target="media/image38.png"/><Relationship Id="rId50" Type="http://schemas.openxmlformats.org/officeDocument/2006/relationships/image" Target="media/image39.png"/><Relationship Id="rId51" Type="http://schemas.openxmlformats.org/officeDocument/2006/relationships/image" Target="media/image40.png"/><Relationship Id="rId52" Type="http://schemas.openxmlformats.org/officeDocument/2006/relationships/image" Target="media/image41.png"/><Relationship Id="rId53" Type="http://schemas.openxmlformats.org/officeDocument/2006/relationships/image" Target="media/image42.png"/><Relationship Id="rId54" Type="http://schemas.openxmlformats.org/officeDocument/2006/relationships/image" Target="media/image43.png"/><Relationship Id="rId55" Type="http://schemas.openxmlformats.org/officeDocument/2006/relationships/image" Target="media/image44.png"/><Relationship Id="rId56" Type="http://schemas.openxmlformats.org/officeDocument/2006/relationships/image" Target="media/image45.png"/><Relationship Id="rId57" Type="http://schemas.openxmlformats.org/officeDocument/2006/relationships/image" Target="media/image46.jpeg"/><Relationship Id="rId58" Type="http://schemas.openxmlformats.org/officeDocument/2006/relationships/image" Target="media/image47.png"/><Relationship Id="rId59" Type="http://schemas.openxmlformats.org/officeDocument/2006/relationships/image" Target="media/image48.png"/><Relationship Id="rId60" Type="http://schemas.openxmlformats.org/officeDocument/2006/relationships/image" Target="media/image49.jpeg"/><Relationship Id="rId61" Type="http://schemas.openxmlformats.org/officeDocument/2006/relationships/image" Target="media/image50.jpeg"/><Relationship Id="rId62" Type="http://schemas.openxmlformats.org/officeDocument/2006/relationships/image" Target="media/image51.jpeg"/><Relationship Id="rId63" Type="http://schemas.openxmlformats.org/officeDocument/2006/relationships/image" Target="media/image52.png"/><Relationship Id="rId64" Type="http://schemas.openxmlformats.org/officeDocument/2006/relationships/image" Target="media/image53.jpeg"/><Relationship Id="rId65" Type="http://schemas.openxmlformats.org/officeDocument/2006/relationships/image" Target="media/image54.png"/><Relationship Id="rId66" Type="http://schemas.openxmlformats.org/officeDocument/2006/relationships/image" Target="media/image55.jpeg"/><Relationship Id="rId67" Type="http://schemas.openxmlformats.org/officeDocument/2006/relationships/image" Target="media/image56.png"/><Relationship Id="rId68" Type="http://schemas.openxmlformats.org/officeDocument/2006/relationships/image" Target="media/image57.jpeg"/><Relationship Id="rId69" Type="http://schemas.openxmlformats.org/officeDocument/2006/relationships/image" Target="media/image58.png"/><Relationship Id="rId70" Type="http://schemas.openxmlformats.org/officeDocument/2006/relationships/image" Target="media/image59.png"/><Relationship Id="rId71" Type="http://schemas.openxmlformats.org/officeDocument/2006/relationships/image" Target="media/image60.jpeg"/><Relationship Id="rId72" Type="http://schemas.openxmlformats.org/officeDocument/2006/relationships/image" Target="media/image61.jpeg"/><Relationship Id="rId73" Type="http://schemas.openxmlformats.org/officeDocument/2006/relationships/image" Target="media/image62.png"/><Relationship Id="rId74" Type="http://schemas.openxmlformats.org/officeDocument/2006/relationships/image" Target="media/image63.png"/><Relationship Id="rId75" Type="http://schemas.openxmlformats.org/officeDocument/2006/relationships/image" Target="media/image64.jpeg"/><Relationship Id="rId76" Type="http://schemas.openxmlformats.org/officeDocument/2006/relationships/image" Target="media/image65.jpeg"/><Relationship Id="rId77" Type="http://schemas.openxmlformats.org/officeDocument/2006/relationships/image" Target="media/image66.png"/><Relationship Id="rId78" Type="http://schemas.openxmlformats.org/officeDocument/2006/relationships/image" Target="media/image67.jpeg"/><Relationship Id="rId79" Type="http://schemas.openxmlformats.org/officeDocument/2006/relationships/image" Target="media/image68.png"/><Relationship Id="rId80" Type="http://schemas.openxmlformats.org/officeDocument/2006/relationships/image" Target="media/image69.png"/><Relationship Id="rId81" Type="http://schemas.openxmlformats.org/officeDocument/2006/relationships/image" Target="media/image70.jpeg"/><Relationship Id="rId82" Type="http://schemas.openxmlformats.org/officeDocument/2006/relationships/image" Target="media/image71.jpeg"/><Relationship Id="rId83" Type="http://schemas.openxmlformats.org/officeDocument/2006/relationships/image" Target="media/image72.png"/><Relationship Id="rId84" Type="http://schemas.openxmlformats.org/officeDocument/2006/relationships/image" Target="media/image73.png"/><Relationship Id="rId85" Type="http://schemas.openxmlformats.org/officeDocument/2006/relationships/image" Target="media/image74.png"/><Relationship Id="rId86" Type="http://schemas.openxmlformats.org/officeDocument/2006/relationships/image" Target="media/image75.jpeg"/><Relationship Id="rId87" Type="http://schemas.openxmlformats.org/officeDocument/2006/relationships/image" Target="media/image76.jpeg"/><Relationship Id="rId88" Type="http://schemas.openxmlformats.org/officeDocument/2006/relationships/image" Target="media/image77.png"/><Relationship Id="rId89" Type="http://schemas.openxmlformats.org/officeDocument/2006/relationships/image" Target="media/image78.png"/><Relationship Id="rId90" Type="http://schemas.openxmlformats.org/officeDocument/2006/relationships/image" Target="media/image79.png"/><Relationship Id="rId91" Type="http://schemas.openxmlformats.org/officeDocument/2006/relationships/image" Target="media/image80.png"/><Relationship Id="rId92" Type="http://schemas.openxmlformats.org/officeDocument/2006/relationships/image" Target="media/image81.jpeg"/><Relationship Id="rId93" Type="http://schemas.openxmlformats.org/officeDocument/2006/relationships/image" Target="media/image81.jpeg"/><Relationship Id="rId94" Type="http://schemas.openxmlformats.org/officeDocument/2006/relationships/image" Target="media/image82.jpeg"/><Relationship Id="rId95" Type="http://schemas.openxmlformats.org/officeDocument/2006/relationships/image" Target="media/image83.png"/><Relationship Id="rId96" Type="http://schemas.openxmlformats.org/officeDocument/2006/relationships/image" Target="media/image83.png"/><Relationship Id="rId97" Type="http://schemas.openxmlformats.org/officeDocument/2006/relationships/image" Target="media/image84.jpeg"/><Relationship Id="rId98" Type="http://schemas.openxmlformats.org/officeDocument/2006/relationships/image" Target="media/image84.jpeg"/><Relationship Id="rId99" Type="http://schemas.openxmlformats.org/officeDocument/2006/relationships/image" Target="media/image85.png"/><Relationship Id="rId100" Type="http://schemas.openxmlformats.org/officeDocument/2006/relationships/image" Target="media/image85.png"/><Relationship Id="rId101" Type="http://schemas.openxmlformats.org/officeDocument/2006/relationships/image" Target="media/image86.png"/><Relationship Id="rId102" Type="http://schemas.openxmlformats.org/officeDocument/2006/relationships/image" Target="media/image86.png"/><Relationship Id="rId103" Type="http://schemas.openxmlformats.org/officeDocument/2006/relationships/image" Target="media/image87.jpeg"/><Relationship Id="rId104" Type="http://schemas.openxmlformats.org/officeDocument/2006/relationships/image" Target="media/image87.jpeg"/><Relationship Id="rId105" Type="http://schemas.openxmlformats.org/officeDocument/2006/relationships/image" Target="media/image88.png"/><Relationship Id="rId106" Type="http://schemas.openxmlformats.org/officeDocument/2006/relationships/image" Target="media/image88.png"/><Relationship Id="rId107" Type="http://schemas.openxmlformats.org/officeDocument/2006/relationships/image" Target="media/image89.png"/><Relationship Id="rId108" Type="http://schemas.openxmlformats.org/officeDocument/2006/relationships/image" Target="media/image90.png"/><Relationship Id="rId109" Type="http://schemas.openxmlformats.org/officeDocument/2006/relationships/image" Target="media/image90.png"/><Relationship Id="rId110" Type="http://schemas.openxmlformats.org/officeDocument/2006/relationships/image" Target="media/image91.jpeg"/><Relationship Id="rId111" Type="http://schemas.openxmlformats.org/officeDocument/2006/relationships/hyperlink" Target="https://greenblue.com/gb/products/rootrain-urban/" TargetMode="External"/><Relationship Id="rId112" Type="http://schemas.openxmlformats.org/officeDocument/2006/relationships/image" Target="media/image92.png"/><Relationship Id="rId113" Type="http://schemas.openxmlformats.org/officeDocument/2006/relationships/image" Target="media/image93.jpeg"/><Relationship Id="rId114" Type="http://schemas.openxmlformats.org/officeDocument/2006/relationships/image" Target="media/image94.png"/><Relationship Id="rId115" Type="http://schemas.openxmlformats.org/officeDocument/2006/relationships/image" Target="media/image95.jpeg"/><Relationship Id="rId116" Type="http://schemas.openxmlformats.org/officeDocument/2006/relationships/image" Target="media/image96.png"/><Relationship Id="rId117" Type="http://schemas.openxmlformats.org/officeDocument/2006/relationships/image" Target="media/image97.jpeg"/><Relationship Id="rId118" Type="http://schemas.openxmlformats.org/officeDocument/2006/relationships/image" Target="media/image98.jpeg"/><Relationship Id="rId119" Type="http://schemas.openxmlformats.org/officeDocument/2006/relationships/image" Target="media/image99.jpeg"/><Relationship Id="rId120" Type="http://schemas.openxmlformats.org/officeDocument/2006/relationships/image" Target="media/image100.png"/><Relationship Id="rId121" Type="http://schemas.openxmlformats.org/officeDocument/2006/relationships/image" Target="media/image101.jpeg"/><Relationship Id="rId122" Type="http://schemas.openxmlformats.org/officeDocument/2006/relationships/image" Target="media/image102.png"/><Relationship Id="rId123" Type="http://schemas.openxmlformats.org/officeDocument/2006/relationships/image" Target="media/image103.jpeg"/><Relationship Id="rId124" Type="http://schemas.openxmlformats.org/officeDocument/2006/relationships/image" Target="media/image104.png"/><Relationship Id="rId125" Type="http://schemas.openxmlformats.org/officeDocument/2006/relationships/image" Target="media/image105.png"/><Relationship Id="rId126" Type="http://schemas.openxmlformats.org/officeDocument/2006/relationships/image" Target="media/image106.jpeg"/><Relationship Id="rId127" Type="http://schemas.openxmlformats.org/officeDocument/2006/relationships/image" Target="media/image107.jpeg"/><Relationship Id="rId128" Type="http://schemas.openxmlformats.org/officeDocument/2006/relationships/image" Target="media/image108.jpeg"/><Relationship Id="rId129" Type="http://schemas.openxmlformats.org/officeDocument/2006/relationships/image" Target="media/image109.jpeg"/><Relationship Id="rId130" Type="http://schemas.openxmlformats.org/officeDocument/2006/relationships/image" Target="media/image110.jpeg"/><Relationship Id="rId131" Type="http://schemas.openxmlformats.org/officeDocument/2006/relationships/image" Target="media/image111.jpeg"/><Relationship Id="rId132" Type="http://schemas.openxmlformats.org/officeDocument/2006/relationships/image" Target="media/image112.jpeg"/><Relationship Id="rId133" Type="http://schemas.openxmlformats.org/officeDocument/2006/relationships/header" Target="header1.xml"/><Relationship Id="rId134" Type="http://schemas.openxmlformats.org/officeDocument/2006/relationships/header" Target="header2.xml"/><Relationship Id="rId135" Type="http://schemas.openxmlformats.org/officeDocument/2006/relationships/header" Target="header3.xml"/><Relationship Id="rId136" Type="http://schemas.openxmlformats.org/officeDocument/2006/relationships/footer" Target="footer1.xml"/><Relationship Id="rId137" Type="http://schemas.openxmlformats.org/officeDocument/2006/relationships/footer" Target="footer2.xml"/><Relationship Id="rId138" Type="http://schemas.openxmlformats.org/officeDocument/2006/relationships/footer" Target="footer3.xml"/><Relationship Id="rId139" Type="http://schemas.openxmlformats.org/officeDocument/2006/relationships/numbering" Target="numbering.xml"/><Relationship Id="rId140" Type="http://schemas.openxmlformats.org/officeDocument/2006/relationships/fontTable" Target="fontTable.xml"/><Relationship Id="rId141" Type="http://schemas.openxmlformats.org/officeDocument/2006/relationships/settings" Target="settings.xml"/><Relationship Id="rId142" Type="http://schemas.openxmlformats.org/officeDocument/2006/relationships/theme" Target="theme/theme1.xml"/><Relationship Id="rId143" Type="http://schemas.openxmlformats.org/officeDocument/2006/relationships/customXml" Target="../customXml/item1.xml"/>
</Relationships>
</file>

<file path=word/_rels/footer3.xml.rels><?xml version="1.0" encoding="UTF-8"?>
<Relationships xmlns="http://schemas.openxmlformats.org/package/2006/relationships"><Relationship Id="rId1" Type="http://schemas.openxmlformats.org/officeDocument/2006/relationships/image" Target="media/image114.png"/><Relationship Id="rId2" Type="http://schemas.openxmlformats.org/officeDocument/2006/relationships/image" Target="media/image115.png"/><Relationship Id="rId3" Type="http://schemas.openxmlformats.org/officeDocument/2006/relationships/image" Target="media/image116.png"/><Relationship Id="rId4" Type="http://schemas.openxmlformats.org/officeDocument/2006/relationships/image" Target="media/image117.png"/>
</Relationships>
</file>

<file path=word/_rels/header2.xml.rels><?xml version="1.0" encoding="UTF-8"?>
<Relationships xmlns="http://schemas.openxmlformats.org/package/2006/relationships"><Relationship Id="rId1" Type="http://schemas.openxmlformats.org/officeDocument/2006/relationships/image" Target="media/image113.jpeg"/>
</Relationships>
</file>

<file path=word/_rels/header3.xml.rels><?xml version="1.0" encoding="UTF-8"?>
<Relationships xmlns="http://schemas.openxmlformats.org/package/2006/relationships"><Relationship Id="rId1" Type="http://schemas.openxmlformats.org/officeDocument/2006/relationships/image" Target="media/image113.jpeg"/>
</Relationships>
</file>

<file path=word/theme/theme1.xml><?xml version="1.0" encoding="utf-8"?>
<a:theme xmlns:a="http://schemas.openxmlformats.org/drawingml/2006/main" xmlns:r="http://schemas.openxmlformats.org/officeDocument/2006/relationships"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itchFamily="0" charset="1"/>
        <a:ea typeface=""/>
        <a:cs typeface=""/>
      </a:majorFont>
      <a:minorFont>
        <a:latin typeface="Calibri" pitchFamily="0" charset="1"/>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l="0" t="0" r="0" b="0"/>
        </a:gradFill>
        <a:gradFill>
          <a:gsLst>
            <a:gs pos="0">
              <a:schemeClr val="phClr">
                <a:shade val="51000"/>
              </a:schemeClr>
            </a:gs>
            <a:gs pos="80000">
              <a:schemeClr val="phClr">
                <a:shade val="93000"/>
              </a:schemeClr>
            </a:gs>
            <a:gs pos="100000">
              <a:schemeClr val="phClr">
                <a:shade val="94000"/>
              </a:schemeClr>
            </a:gs>
          </a:gsLst>
          <a:lin ang="16200000" scaled="0"/>
          <a:tileRect l="0" t="0" r="0" b="0"/>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l="0" t="0" r="0" b="0"/>
        </a:gradFill>
        <a:gradFill>
          <a:gsLst>
            <a:gs pos="0">
              <a:schemeClr val="phClr">
                <a:tint val="80000"/>
              </a:schemeClr>
            </a:gs>
            <a:gs pos="100000">
              <a:schemeClr val="phClr">
                <a:shade val="30000"/>
              </a:schemeClr>
            </a:gs>
          </a:gsLst>
          <a:path path="circle">
            <a:fillToRect l="50000" t="50000" r="50000" b="50000"/>
          </a:path>
          <a:tileRect l="0" t="0" r="0" b="0"/>
        </a:gra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8CFF99-93E5-44AE-9A6A-87268CD495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1313</TotalTime>
  <Application>LibreOffice/25.8.3.2$Windows_X86_64 LibreOffice_project/8ca8d55c161d602844f5428fa4b58097424e324e</Application>
  <AppVersion>15.0000</AppVersion>
  <Pages>77</Pages>
  <Words>22672</Words>
  <Characters>150340</Characters>
  <CharactersWithSpaces>171767</CharactersWithSpaces>
  <Paragraphs>1734</Paragraphs>
  <Company>SRP Projektas</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2024-05-23T10:27:00Z</dcterms:created>
  <dc:creator>Doman</dc:creator>
  <dc:description/>
  <dc:language>lt-LT</dc:language>
  <cp:lastModifiedBy/>
  <cp:lastPrinted>2025-11-18T17:31:28Z</cp:lastPrinted>
  <dcterms:modified xsi:type="dcterms:W3CDTF">2025-11-30T13:15:48Z</dcterms:modified>
  <cp:revision>197</cp:revision>
  <dc:subject/>
  <dc:title>Bendrasis aiškinamasis raštas</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a">
    <vt:lpwstr>2023-12</vt:lpwstr>
  </property>
  <property fmtid="{D5CDD505-2E9C-101B-9397-08002B2CF9AE}" pid="3" name="Dokumento pavadinimas">
    <vt:lpwstr>Bendrasis aiškinamasis raštas</vt:lpwstr>
  </property>
  <property fmtid="{D5CDD505-2E9C-101B-9397-08002B2CF9AE}" pid="4" name="Dokumento žymuo">
    <vt:lpwstr>EA_001-R2-PAL-SRP-DBA-AB-BC-0006-TDP-BD_01_01-AR</vt:lpwstr>
  </property>
  <property fmtid="{D5CDD505-2E9C-101B-9397-08002B2CF9AE}" pid="5" name="Kval. atest. Nr. (PDV)">
    <vt:lpwstr>33272</vt:lpwstr>
  </property>
  <property fmtid="{D5CDD505-2E9C-101B-9397-08002B2CF9AE}" pid="6" name="Kval. atestato Nr.">
    <vt:lpwstr>36328</vt:lpwstr>
  </property>
  <property fmtid="{D5CDD505-2E9C-101B-9397-08002B2CF9AE}" pid="7" name="Laida">
    <vt:lpwstr>0</vt:lpwstr>
  </property>
  <property fmtid="{D5CDD505-2E9C-101B-9397-08002B2CF9AE}" pid="8" name="Pareigos (PV)">
    <vt:lpwstr>PV</vt:lpwstr>
  </property>
  <property fmtid="{D5CDD505-2E9C-101B-9397-08002B2CF9AE}" pid="9" name="Statinio projekto pavadinimas">
    <vt:lpwstr>Karinės / Civilinės aikštelės įrengimas Palemone</vt:lpwstr>
  </property>
  <property fmtid="{D5CDD505-2E9C-101B-9397-08002B2CF9AE}" pid="10" name="Statytojas ir (ar) užsakovas">
    <vt:lpwstr>AB „LTG Infra“</vt:lpwstr>
  </property>
  <property fmtid="{D5CDD505-2E9C-101B-9397-08002B2CF9AE}" pid="11" name="Vardas/Pavardė (PV)">
    <vt:lpwstr>Tadas Kasperavičius</vt:lpwstr>
  </property>
</Properties>
</file>